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rPr>
          <w:rFonts w:ascii="宋体"/>
          <w:b/>
          <w:color w:val="auto"/>
          <w:sz w:val="84"/>
        </w:rPr>
      </w:pPr>
    </w:p>
    <w:p>
      <w:pPr>
        <w:pStyle w:val="16"/>
        <w:rPr>
          <w:rFonts w:ascii="宋体"/>
          <w:b/>
          <w:color w:val="auto"/>
          <w:sz w:val="84"/>
        </w:rPr>
      </w:pPr>
    </w:p>
    <w:p>
      <w:pPr>
        <w:pStyle w:val="16"/>
        <w:rPr>
          <w:rFonts w:ascii="宋体"/>
          <w:b/>
          <w:color w:val="auto"/>
          <w:sz w:val="84"/>
        </w:rPr>
      </w:pPr>
    </w:p>
    <w:p>
      <w:pPr>
        <w:pStyle w:val="16"/>
        <w:rPr>
          <w:rFonts w:ascii="宋体"/>
          <w:b/>
          <w:color w:val="auto"/>
          <w:sz w:val="84"/>
        </w:rPr>
      </w:pPr>
    </w:p>
    <w:p>
      <w:pPr>
        <w:spacing w:line="1400" w:lineRule="exact"/>
        <w:jc w:val="center"/>
        <w:rPr>
          <w:rFonts w:ascii="宋体" w:hAnsi="宋体"/>
          <w:b/>
          <w:color w:val="auto"/>
          <w:sz w:val="84"/>
        </w:rPr>
      </w:pPr>
      <w:r>
        <w:rPr>
          <w:rFonts w:hint="eastAsia" w:ascii="宋体"/>
          <w:b/>
          <w:color w:val="auto"/>
          <w:sz w:val="84"/>
          <w:lang w:eastAsia="zh-CN"/>
        </w:rPr>
        <w:t>预公告</w:t>
      </w:r>
      <w:r>
        <w:rPr>
          <w:rFonts w:hint="eastAsia" w:ascii="宋体"/>
          <w:b/>
          <w:color w:val="auto"/>
          <w:sz w:val="84"/>
        </w:rPr>
        <w:t>招标文件</w:t>
      </w:r>
    </w:p>
    <w:p>
      <w:pPr>
        <w:pStyle w:val="20"/>
        <w:spacing w:line="360" w:lineRule="auto"/>
        <w:jc w:val="center"/>
        <w:rPr>
          <w:rFonts w:hAnsi="宋体"/>
          <w:b/>
          <w:color w:val="auto"/>
          <w:sz w:val="44"/>
        </w:rPr>
      </w:pPr>
    </w:p>
    <w:p>
      <w:pPr>
        <w:pStyle w:val="20"/>
        <w:spacing w:line="360" w:lineRule="auto"/>
        <w:rPr>
          <w:rFonts w:hAnsi="宋体"/>
          <w:b/>
          <w:color w:val="auto"/>
          <w:sz w:val="44"/>
        </w:rPr>
      </w:pPr>
    </w:p>
    <w:p>
      <w:pPr>
        <w:pStyle w:val="20"/>
        <w:spacing w:line="480" w:lineRule="auto"/>
        <w:rPr>
          <w:rFonts w:hAnsi="宋体"/>
          <w:b/>
          <w:color w:val="auto"/>
          <w:sz w:val="44"/>
        </w:rPr>
      </w:pPr>
    </w:p>
    <w:p>
      <w:pPr>
        <w:spacing w:line="480" w:lineRule="auto"/>
        <w:ind w:firstLine="900" w:firstLineChars="249"/>
        <w:jc w:val="center"/>
        <w:rPr>
          <w:rFonts w:ascii="宋体" w:hAnsi="宋体"/>
          <w:b/>
          <w:color w:val="auto"/>
          <w:sz w:val="36"/>
        </w:rPr>
      </w:pPr>
      <w:r>
        <w:rPr>
          <w:rFonts w:hint="eastAsia" w:ascii="宋体" w:hAnsi="宋体"/>
          <w:b/>
          <w:color w:val="auto"/>
          <w:sz w:val="36"/>
        </w:rPr>
        <w:t>招标编号：NDHFZB-1220230329</w:t>
      </w:r>
    </w:p>
    <w:p>
      <w:pPr>
        <w:pStyle w:val="20"/>
        <w:spacing w:line="480" w:lineRule="auto"/>
        <w:ind w:right="-334" w:rightChars="-159" w:firstLine="361" w:firstLineChars="100"/>
        <w:jc w:val="center"/>
        <w:rPr>
          <w:rFonts w:hAnsi="宋体"/>
          <w:b/>
          <w:color w:val="auto"/>
          <w:sz w:val="36"/>
        </w:rPr>
      </w:pPr>
      <w:r>
        <w:rPr>
          <w:rFonts w:hint="eastAsia" w:hAnsi="宋体"/>
          <w:b/>
          <w:color w:val="auto"/>
          <w:sz w:val="36"/>
        </w:rPr>
        <w:t>项目名称：</w:t>
      </w:r>
      <w:r>
        <w:rPr>
          <w:rFonts w:hint="eastAsia" w:hAnsi="宋体"/>
          <w:b/>
          <w:color w:val="auto"/>
          <w:sz w:val="36"/>
          <w:szCs w:val="22"/>
        </w:rPr>
        <w:t>福建省宁德市汽车运输集团有限公司保险采购项目</w:t>
      </w:r>
    </w:p>
    <w:p>
      <w:pPr>
        <w:pStyle w:val="20"/>
        <w:snapToGrid w:val="0"/>
        <w:spacing w:line="480" w:lineRule="auto"/>
        <w:rPr>
          <w:rFonts w:hAnsi="宋体"/>
          <w:b/>
          <w:color w:val="auto"/>
          <w:sz w:val="28"/>
        </w:rPr>
      </w:pPr>
    </w:p>
    <w:p>
      <w:pPr>
        <w:pStyle w:val="20"/>
        <w:snapToGrid w:val="0"/>
        <w:spacing w:line="480" w:lineRule="auto"/>
        <w:rPr>
          <w:rFonts w:hAnsi="宋体"/>
          <w:b/>
          <w:color w:val="auto"/>
          <w:sz w:val="28"/>
        </w:rPr>
      </w:pPr>
    </w:p>
    <w:p>
      <w:pPr>
        <w:pStyle w:val="20"/>
        <w:snapToGrid w:val="0"/>
        <w:spacing w:line="480" w:lineRule="auto"/>
        <w:rPr>
          <w:rFonts w:hAnsi="宋体"/>
          <w:b/>
          <w:color w:val="auto"/>
          <w:sz w:val="28"/>
        </w:rPr>
      </w:pPr>
    </w:p>
    <w:p>
      <w:pPr>
        <w:pStyle w:val="20"/>
        <w:snapToGrid w:val="0"/>
        <w:spacing w:line="480" w:lineRule="auto"/>
        <w:ind w:firstLine="723" w:firstLineChars="200"/>
        <w:rPr>
          <w:rFonts w:hAnsi="宋体"/>
          <w:b/>
          <w:color w:val="auto"/>
          <w:spacing w:val="20"/>
          <w:sz w:val="32"/>
        </w:rPr>
      </w:pPr>
      <w:r>
        <w:rPr>
          <w:rFonts w:hint="eastAsia" w:hAnsi="宋体"/>
          <w:b/>
          <w:color w:val="auto"/>
          <w:spacing w:val="20"/>
          <w:sz w:val="32"/>
        </w:rPr>
        <w:t xml:space="preserve">采购人: </w:t>
      </w:r>
      <w:r>
        <w:rPr>
          <w:rFonts w:hint="eastAsia" w:hAnsi="宋体"/>
          <w:b/>
          <w:color w:val="auto"/>
          <w:spacing w:val="20"/>
          <w:sz w:val="32"/>
          <w:u w:val="single"/>
        </w:rPr>
        <w:t>福建省宁德市汽车运输集团有限公司</w:t>
      </w:r>
      <w:r>
        <w:rPr>
          <w:rFonts w:hint="eastAsia" w:hAnsi="宋体"/>
          <w:b/>
          <w:color w:val="auto"/>
          <w:spacing w:val="20"/>
          <w:sz w:val="32"/>
        </w:rPr>
        <w:t>（盖章）</w:t>
      </w:r>
    </w:p>
    <w:p>
      <w:pPr>
        <w:pStyle w:val="20"/>
        <w:snapToGrid w:val="0"/>
        <w:spacing w:line="480" w:lineRule="auto"/>
        <w:jc w:val="center"/>
        <w:rPr>
          <w:rFonts w:hAnsi="宋体"/>
          <w:b/>
          <w:color w:val="auto"/>
          <w:spacing w:val="20"/>
          <w:sz w:val="32"/>
        </w:rPr>
      </w:pPr>
      <w:r>
        <w:rPr>
          <w:rFonts w:hint="eastAsia" w:hAnsi="宋体"/>
          <w:b/>
          <w:color w:val="auto"/>
          <w:spacing w:val="20"/>
          <w:sz w:val="32"/>
        </w:rPr>
        <w:t>招标代理机构:</w:t>
      </w:r>
      <w:r>
        <w:rPr>
          <w:rFonts w:hint="eastAsia" w:hAnsi="宋体"/>
          <w:b/>
          <w:color w:val="auto"/>
          <w:spacing w:val="20"/>
          <w:sz w:val="32"/>
          <w:u w:val="single"/>
        </w:rPr>
        <w:t>宁德市恒福招标有限公司</w:t>
      </w:r>
      <w:r>
        <w:rPr>
          <w:rFonts w:hint="eastAsia" w:hAnsi="宋体"/>
          <w:b/>
          <w:color w:val="auto"/>
          <w:spacing w:val="20"/>
          <w:sz w:val="32"/>
        </w:rPr>
        <w:t>（盖章）</w:t>
      </w:r>
    </w:p>
    <w:p>
      <w:pPr>
        <w:pStyle w:val="9"/>
        <w:snapToGrid w:val="0"/>
        <w:spacing w:line="480" w:lineRule="auto"/>
        <w:ind w:firstLine="2522" w:firstLineChars="698"/>
        <w:rPr>
          <w:rFonts w:ascii="宋体" w:hAnsi="宋体"/>
          <w:color w:val="auto"/>
          <w:sz w:val="44"/>
          <w:u w:val="single"/>
        </w:rPr>
      </w:pPr>
      <w:r>
        <w:rPr>
          <w:rFonts w:hint="eastAsia" w:ascii="宋体" w:hAnsi="宋体"/>
          <w:b/>
          <w:color w:val="auto"/>
          <w:spacing w:val="20"/>
          <w:sz w:val="32"/>
        </w:rPr>
        <w:t>二○二三年四月</w:t>
      </w:r>
    </w:p>
    <w:p>
      <w:pPr>
        <w:pStyle w:val="9"/>
        <w:snapToGrid w:val="0"/>
        <w:spacing w:line="360" w:lineRule="auto"/>
        <w:ind w:firstLine="418" w:firstLineChars="95"/>
        <w:rPr>
          <w:rFonts w:ascii="宋体" w:hAnsi="宋体"/>
          <w:color w:val="auto"/>
          <w:sz w:val="44"/>
          <w:u w:val="single"/>
        </w:rPr>
        <w:sectPr>
          <w:headerReference r:id="rId3" w:type="default"/>
          <w:footerReference r:id="rId5" w:type="default"/>
          <w:headerReference r:id="rId4" w:type="even"/>
          <w:footerReference r:id="rId6" w:type="even"/>
          <w:type w:val="nextColumn"/>
          <w:pgSz w:w="11907" w:h="16840"/>
          <w:pgMar w:top="1134" w:right="1474" w:bottom="1304" w:left="1474" w:header="454" w:footer="624" w:gutter="0"/>
          <w:pgNumType w:start="0"/>
          <w:cols w:space="720" w:num="1"/>
          <w:titlePg/>
          <w:docGrid w:linePitch="312" w:charSpace="0"/>
        </w:sectPr>
      </w:pPr>
    </w:p>
    <w:p>
      <w:pPr>
        <w:pStyle w:val="20"/>
        <w:spacing w:line="360" w:lineRule="auto"/>
        <w:jc w:val="center"/>
        <w:rPr>
          <w:rFonts w:hAnsi="宋体"/>
          <w:b/>
          <w:color w:val="auto"/>
          <w:sz w:val="44"/>
          <w:szCs w:val="44"/>
        </w:rPr>
      </w:pPr>
      <w:r>
        <w:rPr>
          <w:rFonts w:hint="eastAsia" w:hAnsi="宋体"/>
          <w:b/>
          <w:color w:val="auto"/>
          <w:sz w:val="44"/>
          <w:szCs w:val="44"/>
        </w:rPr>
        <w:t>目   录</w:t>
      </w:r>
    </w:p>
    <w:p>
      <w:pPr>
        <w:pStyle w:val="26"/>
        <w:tabs>
          <w:tab w:val="left" w:pos="1050"/>
          <w:tab w:val="right" w:leader="dot" w:pos="8636"/>
        </w:tabs>
        <w:spacing w:line="360" w:lineRule="auto"/>
        <w:rPr>
          <w:rFonts w:ascii="宋体" w:hAnsi="宋体"/>
          <w:color w:val="auto"/>
          <w:sz w:val="24"/>
          <w:szCs w:val="24"/>
        </w:rPr>
      </w:pPr>
      <w:r>
        <w:rPr>
          <w:rFonts w:hint="eastAsia" w:ascii="宋体" w:hAnsi="宋体"/>
          <w:bCs/>
          <w:color w:val="auto"/>
          <w:sz w:val="24"/>
          <w:szCs w:val="24"/>
        </w:rPr>
        <w:fldChar w:fldCharType="begin"/>
      </w:r>
      <w:r>
        <w:rPr>
          <w:rStyle w:val="47"/>
          <w:rFonts w:hint="eastAsia" w:ascii="宋体" w:hAnsi="宋体"/>
          <w:bCs/>
          <w:color w:val="auto"/>
          <w:sz w:val="24"/>
          <w:szCs w:val="24"/>
          <w:u w:val="none"/>
        </w:rPr>
        <w:instrText xml:space="preserve"> TOC \o "1-3" \h \z \u </w:instrText>
      </w:r>
      <w:r>
        <w:rPr>
          <w:rFonts w:hint="eastAsia" w:ascii="宋体" w:hAnsi="宋体"/>
          <w:bCs/>
          <w:color w:val="auto"/>
          <w:sz w:val="24"/>
          <w:szCs w:val="24"/>
        </w:rPr>
        <w:fldChar w:fldCharType="separate"/>
      </w:r>
      <w:r>
        <w:rPr>
          <w:color w:val="auto"/>
        </w:rPr>
        <w:fldChar w:fldCharType="begin"/>
      </w:r>
      <w:r>
        <w:rPr>
          <w:color w:val="auto"/>
        </w:rPr>
        <w:instrText xml:space="preserve"> HYPERLINK \l "_Toc352224144" </w:instrText>
      </w:r>
      <w:r>
        <w:rPr>
          <w:color w:val="auto"/>
        </w:rPr>
        <w:fldChar w:fldCharType="separate"/>
      </w:r>
      <w:r>
        <w:rPr>
          <w:rStyle w:val="47"/>
          <w:rFonts w:hint="eastAsia" w:ascii="宋体" w:hAnsi="宋体"/>
          <w:b/>
          <w:color w:val="auto"/>
          <w:sz w:val="24"/>
          <w:szCs w:val="24"/>
        </w:rPr>
        <w:t>第一章</w:t>
      </w:r>
      <w:r>
        <w:rPr>
          <w:rFonts w:hint="eastAsia" w:ascii="宋体" w:hAnsi="宋体"/>
          <w:color w:val="auto"/>
          <w:sz w:val="24"/>
          <w:szCs w:val="24"/>
        </w:rPr>
        <w:tab/>
      </w:r>
      <w:r>
        <w:rPr>
          <w:rStyle w:val="47"/>
          <w:rFonts w:hint="eastAsia" w:ascii="宋体" w:hAnsi="宋体"/>
          <w:b/>
          <w:color w:val="auto"/>
          <w:sz w:val="24"/>
          <w:szCs w:val="24"/>
        </w:rPr>
        <w:t>投标邀请</w:t>
      </w:r>
      <w:r>
        <w:rPr>
          <w:rFonts w:hint="eastAsia" w:ascii="宋体" w:hAnsi="宋体"/>
          <w:color w:val="auto"/>
          <w:sz w:val="24"/>
          <w:szCs w:val="24"/>
        </w:rPr>
        <w:tab/>
      </w:r>
      <w:r>
        <w:rPr>
          <w:rFonts w:hint="eastAsia" w:ascii="宋体" w:hAnsi="宋体"/>
          <w:color w:val="auto"/>
          <w:sz w:val="24"/>
          <w:szCs w:val="24"/>
        </w:rPr>
        <w:fldChar w:fldCharType="begin"/>
      </w:r>
      <w:r>
        <w:rPr>
          <w:rFonts w:hint="eastAsia" w:ascii="宋体" w:hAnsi="宋体"/>
          <w:color w:val="auto"/>
          <w:sz w:val="24"/>
          <w:szCs w:val="24"/>
        </w:rPr>
        <w:instrText xml:space="preserve"> PAGEREF _Toc352224144 \h </w:instrText>
      </w:r>
      <w:r>
        <w:rPr>
          <w:rFonts w:hint="eastAsia" w:ascii="宋体" w:hAnsi="宋体"/>
          <w:color w:val="auto"/>
          <w:sz w:val="24"/>
          <w:szCs w:val="24"/>
        </w:rPr>
        <w:fldChar w:fldCharType="separate"/>
      </w:r>
      <w:r>
        <w:rPr>
          <w:rFonts w:hint="eastAsia" w:ascii="宋体" w:hAnsi="宋体"/>
          <w:color w:val="auto"/>
          <w:sz w:val="24"/>
          <w:szCs w:val="24"/>
        </w:rPr>
        <w:t>2</w:t>
      </w:r>
      <w:r>
        <w:rPr>
          <w:rFonts w:hint="eastAsia" w:ascii="宋体" w:hAnsi="宋体"/>
          <w:color w:val="auto"/>
          <w:sz w:val="24"/>
          <w:szCs w:val="24"/>
        </w:rPr>
        <w:fldChar w:fldCharType="end"/>
      </w:r>
      <w:r>
        <w:rPr>
          <w:rFonts w:hint="eastAsia" w:ascii="宋体" w:hAnsi="宋体"/>
          <w:color w:val="auto"/>
          <w:sz w:val="24"/>
          <w:szCs w:val="24"/>
        </w:rPr>
        <w:fldChar w:fldCharType="end"/>
      </w:r>
    </w:p>
    <w:p>
      <w:pPr>
        <w:pStyle w:val="26"/>
        <w:tabs>
          <w:tab w:val="right" w:leader="dot" w:pos="8636"/>
        </w:tabs>
        <w:spacing w:line="360" w:lineRule="auto"/>
        <w:rPr>
          <w:rFonts w:ascii="宋体" w:hAnsi="宋体"/>
          <w:color w:val="auto"/>
          <w:sz w:val="24"/>
          <w:szCs w:val="24"/>
        </w:rPr>
      </w:pPr>
      <w:r>
        <w:rPr>
          <w:color w:val="auto"/>
        </w:rPr>
        <w:fldChar w:fldCharType="begin"/>
      </w:r>
      <w:r>
        <w:rPr>
          <w:color w:val="auto"/>
        </w:rPr>
        <w:instrText xml:space="preserve"> HYPERLINK \l "_Toc352224145" </w:instrText>
      </w:r>
      <w:r>
        <w:rPr>
          <w:color w:val="auto"/>
        </w:rPr>
        <w:fldChar w:fldCharType="separate"/>
      </w:r>
      <w:r>
        <w:rPr>
          <w:rStyle w:val="47"/>
          <w:rFonts w:hint="eastAsia" w:ascii="宋体" w:hAnsi="宋体"/>
          <w:b/>
          <w:color w:val="auto"/>
          <w:sz w:val="24"/>
          <w:szCs w:val="24"/>
        </w:rPr>
        <w:t>投标邀请函</w:t>
      </w:r>
      <w:r>
        <w:rPr>
          <w:rFonts w:hint="eastAsia" w:ascii="宋体" w:hAnsi="宋体"/>
          <w:color w:val="auto"/>
          <w:sz w:val="24"/>
          <w:szCs w:val="24"/>
        </w:rPr>
        <w:tab/>
      </w:r>
      <w:r>
        <w:rPr>
          <w:rFonts w:hint="eastAsia" w:ascii="宋体" w:hAnsi="宋体"/>
          <w:color w:val="auto"/>
          <w:sz w:val="24"/>
          <w:szCs w:val="24"/>
        </w:rPr>
        <w:fldChar w:fldCharType="begin"/>
      </w:r>
      <w:r>
        <w:rPr>
          <w:rFonts w:hint="eastAsia" w:ascii="宋体" w:hAnsi="宋体"/>
          <w:color w:val="auto"/>
          <w:sz w:val="24"/>
          <w:szCs w:val="24"/>
        </w:rPr>
        <w:instrText xml:space="preserve"> PAGEREF _Toc352224145 \h </w:instrText>
      </w:r>
      <w:r>
        <w:rPr>
          <w:rFonts w:hint="eastAsia" w:ascii="宋体" w:hAnsi="宋体"/>
          <w:color w:val="auto"/>
          <w:sz w:val="24"/>
          <w:szCs w:val="24"/>
        </w:rPr>
        <w:fldChar w:fldCharType="separate"/>
      </w:r>
      <w:r>
        <w:rPr>
          <w:rFonts w:hint="eastAsia" w:ascii="宋体" w:hAnsi="宋体"/>
          <w:color w:val="auto"/>
          <w:sz w:val="24"/>
          <w:szCs w:val="24"/>
        </w:rPr>
        <w:t>2</w:t>
      </w:r>
      <w:r>
        <w:rPr>
          <w:rFonts w:hint="eastAsia" w:ascii="宋体" w:hAnsi="宋体"/>
          <w:color w:val="auto"/>
          <w:sz w:val="24"/>
          <w:szCs w:val="24"/>
        </w:rPr>
        <w:fldChar w:fldCharType="end"/>
      </w:r>
      <w:r>
        <w:rPr>
          <w:rFonts w:hint="eastAsia" w:ascii="宋体" w:hAnsi="宋体"/>
          <w:color w:val="auto"/>
          <w:sz w:val="24"/>
          <w:szCs w:val="24"/>
        </w:rPr>
        <w:fldChar w:fldCharType="end"/>
      </w:r>
    </w:p>
    <w:p>
      <w:pPr>
        <w:pStyle w:val="26"/>
        <w:tabs>
          <w:tab w:val="right" w:leader="dot" w:pos="8636"/>
        </w:tabs>
        <w:spacing w:line="360" w:lineRule="auto"/>
        <w:rPr>
          <w:rFonts w:ascii="宋体" w:hAnsi="宋体"/>
          <w:color w:val="auto"/>
          <w:sz w:val="24"/>
          <w:szCs w:val="24"/>
        </w:rPr>
      </w:pPr>
      <w:r>
        <w:rPr>
          <w:color w:val="auto"/>
        </w:rPr>
        <w:fldChar w:fldCharType="begin"/>
      </w:r>
      <w:r>
        <w:rPr>
          <w:color w:val="auto"/>
        </w:rPr>
        <w:instrText xml:space="preserve"> HYPERLINK \l "_Toc352224146" </w:instrText>
      </w:r>
      <w:r>
        <w:rPr>
          <w:color w:val="auto"/>
        </w:rPr>
        <w:fldChar w:fldCharType="separate"/>
      </w:r>
      <w:r>
        <w:rPr>
          <w:rStyle w:val="47"/>
          <w:rFonts w:hint="eastAsia" w:ascii="宋体" w:hAnsi="宋体"/>
          <w:b/>
          <w:color w:val="auto"/>
          <w:sz w:val="24"/>
          <w:szCs w:val="24"/>
        </w:rPr>
        <w:t>招标货物一览表</w:t>
      </w:r>
      <w:r>
        <w:rPr>
          <w:rFonts w:hint="eastAsia" w:ascii="宋体" w:hAnsi="宋体"/>
          <w:color w:val="auto"/>
          <w:sz w:val="24"/>
          <w:szCs w:val="24"/>
        </w:rPr>
        <w:tab/>
      </w:r>
      <w:r>
        <w:rPr>
          <w:rFonts w:hint="eastAsia" w:ascii="宋体" w:hAnsi="宋体"/>
          <w:color w:val="auto"/>
          <w:sz w:val="24"/>
          <w:szCs w:val="24"/>
        </w:rPr>
        <w:fldChar w:fldCharType="begin"/>
      </w:r>
      <w:r>
        <w:rPr>
          <w:rFonts w:hint="eastAsia" w:ascii="宋体" w:hAnsi="宋体"/>
          <w:color w:val="auto"/>
          <w:sz w:val="24"/>
          <w:szCs w:val="24"/>
        </w:rPr>
        <w:instrText xml:space="preserve"> PAGEREF _Toc352224146 \h </w:instrText>
      </w:r>
      <w:r>
        <w:rPr>
          <w:rFonts w:hint="eastAsia" w:ascii="宋体" w:hAnsi="宋体"/>
          <w:color w:val="auto"/>
          <w:sz w:val="24"/>
          <w:szCs w:val="24"/>
        </w:rPr>
        <w:fldChar w:fldCharType="separate"/>
      </w:r>
      <w:r>
        <w:rPr>
          <w:rFonts w:hint="eastAsia" w:ascii="宋体" w:hAnsi="宋体"/>
          <w:color w:val="auto"/>
          <w:sz w:val="24"/>
          <w:szCs w:val="24"/>
        </w:rPr>
        <w:t>4</w:t>
      </w:r>
      <w:r>
        <w:rPr>
          <w:rFonts w:hint="eastAsia" w:ascii="宋体" w:hAnsi="宋体"/>
          <w:color w:val="auto"/>
          <w:sz w:val="24"/>
          <w:szCs w:val="24"/>
        </w:rPr>
        <w:fldChar w:fldCharType="end"/>
      </w:r>
      <w:r>
        <w:rPr>
          <w:rFonts w:hint="eastAsia" w:ascii="宋体" w:hAnsi="宋体"/>
          <w:color w:val="auto"/>
          <w:sz w:val="24"/>
          <w:szCs w:val="24"/>
        </w:rPr>
        <w:fldChar w:fldCharType="end"/>
      </w:r>
    </w:p>
    <w:p>
      <w:pPr>
        <w:pStyle w:val="26"/>
        <w:tabs>
          <w:tab w:val="left" w:pos="1050"/>
          <w:tab w:val="right" w:leader="dot" w:pos="8636"/>
        </w:tabs>
        <w:spacing w:line="360" w:lineRule="auto"/>
        <w:rPr>
          <w:rFonts w:ascii="宋体" w:hAnsi="宋体"/>
          <w:color w:val="auto"/>
          <w:sz w:val="24"/>
          <w:szCs w:val="24"/>
        </w:rPr>
      </w:pPr>
      <w:r>
        <w:rPr>
          <w:color w:val="auto"/>
        </w:rPr>
        <w:fldChar w:fldCharType="begin"/>
      </w:r>
      <w:r>
        <w:rPr>
          <w:color w:val="auto"/>
        </w:rPr>
        <w:instrText xml:space="preserve"> HYPERLINK \l "_Toc352224147" </w:instrText>
      </w:r>
      <w:r>
        <w:rPr>
          <w:color w:val="auto"/>
        </w:rPr>
        <w:fldChar w:fldCharType="separate"/>
      </w:r>
      <w:r>
        <w:rPr>
          <w:rStyle w:val="47"/>
          <w:rFonts w:hint="eastAsia" w:ascii="宋体" w:hAnsi="宋体"/>
          <w:b/>
          <w:color w:val="auto"/>
          <w:sz w:val="24"/>
          <w:szCs w:val="24"/>
        </w:rPr>
        <w:t>第二章</w:t>
      </w:r>
      <w:r>
        <w:rPr>
          <w:rFonts w:hint="eastAsia" w:ascii="宋体" w:hAnsi="宋体"/>
          <w:color w:val="auto"/>
          <w:sz w:val="24"/>
          <w:szCs w:val="24"/>
        </w:rPr>
        <w:tab/>
      </w:r>
      <w:r>
        <w:rPr>
          <w:rStyle w:val="47"/>
          <w:rFonts w:hint="eastAsia" w:ascii="宋体" w:hAnsi="宋体"/>
          <w:b/>
          <w:color w:val="auto"/>
          <w:sz w:val="24"/>
          <w:szCs w:val="24"/>
        </w:rPr>
        <w:t>投标人须知</w:t>
      </w:r>
      <w:r>
        <w:rPr>
          <w:rFonts w:hint="eastAsia" w:ascii="宋体" w:hAnsi="宋体"/>
          <w:color w:val="auto"/>
          <w:sz w:val="24"/>
          <w:szCs w:val="24"/>
        </w:rPr>
        <w:tab/>
      </w:r>
      <w:r>
        <w:rPr>
          <w:rFonts w:hint="eastAsia" w:ascii="宋体" w:hAnsi="宋体"/>
          <w:color w:val="auto"/>
          <w:sz w:val="24"/>
          <w:szCs w:val="24"/>
        </w:rPr>
        <w:fldChar w:fldCharType="begin"/>
      </w:r>
      <w:r>
        <w:rPr>
          <w:rFonts w:hint="eastAsia" w:ascii="宋体" w:hAnsi="宋体"/>
          <w:color w:val="auto"/>
          <w:sz w:val="24"/>
          <w:szCs w:val="24"/>
        </w:rPr>
        <w:instrText xml:space="preserve"> PAGEREF _Toc352224147 \h </w:instrText>
      </w:r>
      <w:r>
        <w:rPr>
          <w:rFonts w:hint="eastAsia" w:ascii="宋体" w:hAnsi="宋体"/>
          <w:color w:val="auto"/>
          <w:sz w:val="24"/>
          <w:szCs w:val="24"/>
        </w:rPr>
        <w:fldChar w:fldCharType="separate"/>
      </w:r>
      <w:r>
        <w:rPr>
          <w:rFonts w:hint="eastAsia" w:ascii="宋体" w:hAnsi="宋体"/>
          <w:color w:val="auto"/>
          <w:sz w:val="24"/>
          <w:szCs w:val="24"/>
        </w:rPr>
        <w:t>6</w:t>
      </w:r>
      <w:r>
        <w:rPr>
          <w:rFonts w:hint="eastAsia" w:ascii="宋体" w:hAnsi="宋体"/>
          <w:color w:val="auto"/>
          <w:sz w:val="24"/>
          <w:szCs w:val="24"/>
        </w:rPr>
        <w:fldChar w:fldCharType="end"/>
      </w:r>
      <w:r>
        <w:rPr>
          <w:rFonts w:hint="eastAsia" w:ascii="宋体" w:hAnsi="宋体"/>
          <w:color w:val="auto"/>
          <w:sz w:val="24"/>
          <w:szCs w:val="24"/>
        </w:rPr>
        <w:fldChar w:fldCharType="end"/>
      </w:r>
    </w:p>
    <w:p>
      <w:pPr>
        <w:pStyle w:val="30"/>
        <w:tabs>
          <w:tab w:val="right" w:leader="dot" w:pos="8636"/>
        </w:tabs>
        <w:spacing w:line="360" w:lineRule="auto"/>
        <w:rPr>
          <w:rFonts w:ascii="宋体" w:hAnsi="宋体"/>
          <w:color w:val="auto"/>
          <w:sz w:val="24"/>
          <w:szCs w:val="24"/>
        </w:rPr>
      </w:pPr>
      <w:r>
        <w:rPr>
          <w:color w:val="auto"/>
        </w:rPr>
        <w:fldChar w:fldCharType="begin"/>
      </w:r>
      <w:r>
        <w:rPr>
          <w:color w:val="auto"/>
        </w:rPr>
        <w:instrText xml:space="preserve"> HYPERLINK \l "_Toc352224148" </w:instrText>
      </w:r>
      <w:r>
        <w:rPr>
          <w:color w:val="auto"/>
        </w:rPr>
        <w:fldChar w:fldCharType="separate"/>
      </w:r>
      <w:r>
        <w:rPr>
          <w:rStyle w:val="47"/>
          <w:rFonts w:hint="eastAsia" w:ascii="宋体" w:hAnsi="宋体"/>
          <w:color w:val="auto"/>
          <w:sz w:val="24"/>
          <w:szCs w:val="24"/>
        </w:rPr>
        <w:t>投标人须知前附表</w:t>
      </w:r>
      <w:r>
        <w:rPr>
          <w:rFonts w:hint="eastAsia" w:ascii="宋体" w:hAnsi="宋体"/>
          <w:color w:val="auto"/>
          <w:sz w:val="24"/>
          <w:szCs w:val="24"/>
        </w:rPr>
        <w:tab/>
      </w:r>
      <w:r>
        <w:rPr>
          <w:rFonts w:hint="eastAsia" w:ascii="宋体" w:hAnsi="宋体"/>
          <w:color w:val="auto"/>
          <w:sz w:val="24"/>
          <w:szCs w:val="24"/>
        </w:rPr>
        <w:fldChar w:fldCharType="begin"/>
      </w:r>
      <w:r>
        <w:rPr>
          <w:rFonts w:hint="eastAsia" w:ascii="宋体" w:hAnsi="宋体"/>
          <w:color w:val="auto"/>
          <w:sz w:val="24"/>
          <w:szCs w:val="24"/>
        </w:rPr>
        <w:instrText xml:space="preserve"> PAGEREF _Toc352224148 \h </w:instrText>
      </w:r>
      <w:r>
        <w:rPr>
          <w:rFonts w:hint="eastAsia" w:ascii="宋体" w:hAnsi="宋体"/>
          <w:color w:val="auto"/>
          <w:sz w:val="24"/>
          <w:szCs w:val="24"/>
        </w:rPr>
        <w:fldChar w:fldCharType="separate"/>
      </w:r>
      <w:r>
        <w:rPr>
          <w:rFonts w:hint="eastAsia" w:ascii="宋体" w:hAnsi="宋体"/>
          <w:color w:val="auto"/>
          <w:sz w:val="24"/>
          <w:szCs w:val="24"/>
        </w:rPr>
        <w:t>6</w:t>
      </w:r>
      <w:r>
        <w:rPr>
          <w:rFonts w:hint="eastAsia" w:ascii="宋体" w:hAnsi="宋体"/>
          <w:color w:val="auto"/>
          <w:sz w:val="24"/>
          <w:szCs w:val="24"/>
        </w:rPr>
        <w:fldChar w:fldCharType="end"/>
      </w:r>
      <w:r>
        <w:rPr>
          <w:rFonts w:hint="eastAsia" w:ascii="宋体" w:hAnsi="宋体"/>
          <w:color w:val="auto"/>
          <w:sz w:val="24"/>
          <w:szCs w:val="24"/>
        </w:rPr>
        <w:fldChar w:fldCharType="end"/>
      </w:r>
    </w:p>
    <w:p>
      <w:pPr>
        <w:pStyle w:val="30"/>
        <w:tabs>
          <w:tab w:val="right" w:leader="dot" w:pos="8636"/>
        </w:tabs>
        <w:spacing w:line="360" w:lineRule="auto"/>
        <w:rPr>
          <w:rFonts w:ascii="宋体" w:hAnsi="宋体"/>
          <w:color w:val="auto"/>
          <w:sz w:val="24"/>
          <w:szCs w:val="24"/>
        </w:rPr>
      </w:pPr>
      <w:r>
        <w:rPr>
          <w:color w:val="auto"/>
        </w:rPr>
        <w:fldChar w:fldCharType="begin"/>
      </w:r>
      <w:r>
        <w:rPr>
          <w:color w:val="auto"/>
        </w:rPr>
        <w:instrText xml:space="preserve"> HYPERLINK \l "_Toc352224149" </w:instrText>
      </w:r>
      <w:r>
        <w:rPr>
          <w:color w:val="auto"/>
        </w:rPr>
        <w:fldChar w:fldCharType="separate"/>
      </w:r>
      <w:r>
        <w:rPr>
          <w:rStyle w:val="47"/>
          <w:rFonts w:hint="eastAsia" w:ascii="宋体" w:hAnsi="宋体"/>
          <w:color w:val="auto"/>
          <w:sz w:val="24"/>
          <w:szCs w:val="24"/>
        </w:rPr>
        <w:t>一、  说明</w:t>
      </w:r>
      <w:r>
        <w:rPr>
          <w:rFonts w:hint="eastAsia" w:ascii="宋体" w:hAnsi="宋体"/>
          <w:color w:val="auto"/>
          <w:sz w:val="24"/>
          <w:szCs w:val="24"/>
        </w:rPr>
        <w:tab/>
      </w:r>
      <w:r>
        <w:rPr>
          <w:rFonts w:hint="eastAsia" w:ascii="宋体" w:hAnsi="宋体"/>
          <w:color w:val="auto"/>
          <w:sz w:val="24"/>
          <w:szCs w:val="24"/>
        </w:rPr>
        <w:fldChar w:fldCharType="begin"/>
      </w:r>
      <w:r>
        <w:rPr>
          <w:rFonts w:hint="eastAsia" w:ascii="宋体" w:hAnsi="宋体"/>
          <w:color w:val="auto"/>
          <w:sz w:val="24"/>
          <w:szCs w:val="24"/>
        </w:rPr>
        <w:instrText xml:space="preserve"> PAGEREF _Toc352224149 \h </w:instrText>
      </w:r>
      <w:r>
        <w:rPr>
          <w:rFonts w:hint="eastAsia" w:ascii="宋体" w:hAnsi="宋体"/>
          <w:color w:val="auto"/>
          <w:sz w:val="24"/>
          <w:szCs w:val="24"/>
        </w:rPr>
        <w:fldChar w:fldCharType="separate"/>
      </w:r>
      <w:r>
        <w:rPr>
          <w:rFonts w:hint="eastAsia" w:ascii="宋体" w:hAnsi="宋体"/>
          <w:color w:val="auto"/>
          <w:sz w:val="24"/>
          <w:szCs w:val="24"/>
        </w:rPr>
        <w:t>17</w:t>
      </w:r>
      <w:r>
        <w:rPr>
          <w:rFonts w:hint="eastAsia" w:ascii="宋体" w:hAnsi="宋体"/>
          <w:color w:val="auto"/>
          <w:sz w:val="24"/>
          <w:szCs w:val="24"/>
        </w:rPr>
        <w:fldChar w:fldCharType="end"/>
      </w:r>
      <w:r>
        <w:rPr>
          <w:rFonts w:hint="eastAsia" w:ascii="宋体" w:hAnsi="宋体"/>
          <w:color w:val="auto"/>
          <w:sz w:val="24"/>
          <w:szCs w:val="24"/>
        </w:rPr>
        <w:fldChar w:fldCharType="end"/>
      </w:r>
    </w:p>
    <w:p>
      <w:pPr>
        <w:pStyle w:val="30"/>
        <w:tabs>
          <w:tab w:val="right" w:leader="dot" w:pos="8636"/>
        </w:tabs>
        <w:spacing w:line="360" w:lineRule="auto"/>
        <w:rPr>
          <w:rFonts w:ascii="宋体" w:hAnsi="宋体"/>
          <w:color w:val="auto"/>
          <w:sz w:val="24"/>
          <w:szCs w:val="24"/>
        </w:rPr>
      </w:pPr>
      <w:r>
        <w:rPr>
          <w:color w:val="auto"/>
        </w:rPr>
        <w:fldChar w:fldCharType="begin"/>
      </w:r>
      <w:r>
        <w:rPr>
          <w:color w:val="auto"/>
        </w:rPr>
        <w:instrText xml:space="preserve"> HYPERLINK \l "_Toc352224150" </w:instrText>
      </w:r>
      <w:r>
        <w:rPr>
          <w:color w:val="auto"/>
        </w:rPr>
        <w:fldChar w:fldCharType="separate"/>
      </w:r>
      <w:r>
        <w:rPr>
          <w:rStyle w:val="47"/>
          <w:rFonts w:hint="eastAsia" w:ascii="宋体" w:hAnsi="宋体"/>
          <w:color w:val="auto"/>
          <w:sz w:val="24"/>
          <w:szCs w:val="24"/>
        </w:rPr>
        <w:t>二、  招标文件</w:t>
      </w:r>
      <w:r>
        <w:rPr>
          <w:rFonts w:hint="eastAsia" w:ascii="宋体" w:hAnsi="宋体"/>
          <w:color w:val="auto"/>
          <w:sz w:val="24"/>
          <w:szCs w:val="24"/>
        </w:rPr>
        <w:tab/>
      </w:r>
      <w:r>
        <w:rPr>
          <w:rFonts w:hint="eastAsia" w:ascii="宋体" w:hAnsi="宋体"/>
          <w:color w:val="auto"/>
          <w:sz w:val="24"/>
          <w:szCs w:val="24"/>
        </w:rPr>
        <w:fldChar w:fldCharType="begin"/>
      </w:r>
      <w:r>
        <w:rPr>
          <w:rFonts w:hint="eastAsia" w:ascii="宋体" w:hAnsi="宋体"/>
          <w:color w:val="auto"/>
          <w:sz w:val="24"/>
          <w:szCs w:val="24"/>
        </w:rPr>
        <w:instrText xml:space="preserve"> PAGEREF _Toc352224150 \h </w:instrText>
      </w:r>
      <w:r>
        <w:rPr>
          <w:rFonts w:hint="eastAsia" w:ascii="宋体" w:hAnsi="宋体"/>
          <w:color w:val="auto"/>
          <w:sz w:val="24"/>
          <w:szCs w:val="24"/>
        </w:rPr>
        <w:fldChar w:fldCharType="separate"/>
      </w:r>
      <w:r>
        <w:rPr>
          <w:rFonts w:hint="eastAsia" w:ascii="宋体" w:hAnsi="宋体"/>
          <w:color w:val="auto"/>
          <w:sz w:val="24"/>
          <w:szCs w:val="24"/>
        </w:rPr>
        <w:t>21</w:t>
      </w:r>
      <w:r>
        <w:rPr>
          <w:rFonts w:hint="eastAsia" w:ascii="宋体" w:hAnsi="宋体"/>
          <w:color w:val="auto"/>
          <w:sz w:val="24"/>
          <w:szCs w:val="24"/>
        </w:rPr>
        <w:fldChar w:fldCharType="end"/>
      </w:r>
      <w:r>
        <w:rPr>
          <w:rFonts w:hint="eastAsia" w:ascii="宋体" w:hAnsi="宋体"/>
          <w:color w:val="auto"/>
          <w:sz w:val="24"/>
          <w:szCs w:val="24"/>
        </w:rPr>
        <w:fldChar w:fldCharType="end"/>
      </w:r>
    </w:p>
    <w:p>
      <w:pPr>
        <w:pStyle w:val="30"/>
        <w:tabs>
          <w:tab w:val="right" w:leader="dot" w:pos="8636"/>
        </w:tabs>
        <w:spacing w:line="360" w:lineRule="auto"/>
        <w:rPr>
          <w:rFonts w:ascii="宋体" w:hAnsi="宋体"/>
          <w:color w:val="auto"/>
          <w:sz w:val="24"/>
          <w:szCs w:val="24"/>
        </w:rPr>
      </w:pPr>
      <w:r>
        <w:rPr>
          <w:color w:val="auto"/>
        </w:rPr>
        <w:fldChar w:fldCharType="begin"/>
      </w:r>
      <w:r>
        <w:rPr>
          <w:color w:val="auto"/>
        </w:rPr>
        <w:instrText xml:space="preserve"> HYPERLINK \l "_Toc352224151" </w:instrText>
      </w:r>
      <w:r>
        <w:rPr>
          <w:color w:val="auto"/>
        </w:rPr>
        <w:fldChar w:fldCharType="separate"/>
      </w:r>
      <w:r>
        <w:rPr>
          <w:rStyle w:val="47"/>
          <w:rFonts w:hint="eastAsia" w:ascii="宋体" w:hAnsi="宋体"/>
          <w:color w:val="auto"/>
          <w:sz w:val="24"/>
          <w:szCs w:val="24"/>
        </w:rPr>
        <w:t>三、  投标文件的编写</w:t>
      </w:r>
      <w:r>
        <w:rPr>
          <w:rFonts w:hint="eastAsia" w:ascii="宋体" w:hAnsi="宋体"/>
          <w:color w:val="auto"/>
          <w:sz w:val="24"/>
          <w:szCs w:val="24"/>
        </w:rPr>
        <w:tab/>
      </w:r>
      <w:r>
        <w:rPr>
          <w:rFonts w:hint="eastAsia" w:ascii="宋体" w:hAnsi="宋体"/>
          <w:color w:val="auto"/>
          <w:sz w:val="24"/>
          <w:szCs w:val="24"/>
        </w:rPr>
        <w:fldChar w:fldCharType="begin"/>
      </w:r>
      <w:r>
        <w:rPr>
          <w:rFonts w:hint="eastAsia" w:ascii="宋体" w:hAnsi="宋体"/>
          <w:color w:val="auto"/>
          <w:sz w:val="24"/>
          <w:szCs w:val="24"/>
        </w:rPr>
        <w:instrText xml:space="preserve"> PAGEREF _Toc352224151 \h </w:instrText>
      </w:r>
      <w:r>
        <w:rPr>
          <w:rFonts w:hint="eastAsia" w:ascii="宋体" w:hAnsi="宋体"/>
          <w:color w:val="auto"/>
          <w:sz w:val="24"/>
          <w:szCs w:val="24"/>
        </w:rPr>
        <w:fldChar w:fldCharType="separate"/>
      </w:r>
      <w:r>
        <w:rPr>
          <w:rFonts w:hint="eastAsia" w:ascii="宋体" w:hAnsi="宋体"/>
          <w:color w:val="auto"/>
          <w:sz w:val="24"/>
          <w:szCs w:val="24"/>
        </w:rPr>
        <w:t>22</w:t>
      </w:r>
      <w:r>
        <w:rPr>
          <w:rFonts w:hint="eastAsia" w:ascii="宋体" w:hAnsi="宋体"/>
          <w:color w:val="auto"/>
          <w:sz w:val="24"/>
          <w:szCs w:val="24"/>
        </w:rPr>
        <w:fldChar w:fldCharType="end"/>
      </w:r>
      <w:r>
        <w:rPr>
          <w:rFonts w:hint="eastAsia" w:ascii="宋体" w:hAnsi="宋体"/>
          <w:color w:val="auto"/>
          <w:sz w:val="24"/>
          <w:szCs w:val="24"/>
        </w:rPr>
        <w:fldChar w:fldCharType="end"/>
      </w:r>
    </w:p>
    <w:p>
      <w:pPr>
        <w:pStyle w:val="30"/>
        <w:tabs>
          <w:tab w:val="right" w:leader="dot" w:pos="8636"/>
        </w:tabs>
        <w:spacing w:line="360" w:lineRule="auto"/>
        <w:rPr>
          <w:rFonts w:ascii="宋体" w:hAnsi="宋体"/>
          <w:color w:val="auto"/>
          <w:sz w:val="24"/>
          <w:szCs w:val="24"/>
        </w:rPr>
      </w:pPr>
      <w:r>
        <w:rPr>
          <w:color w:val="auto"/>
        </w:rPr>
        <w:fldChar w:fldCharType="begin"/>
      </w:r>
      <w:r>
        <w:rPr>
          <w:color w:val="auto"/>
        </w:rPr>
        <w:instrText xml:space="preserve"> HYPERLINK \l "_Toc352224152" </w:instrText>
      </w:r>
      <w:r>
        <w:rPr>
          <w:color w:val="auto"/>
        </w:rPr>
        <w:fldChar w:fldCharType="separate"/>
      </w:r>
      <w:r>
        <w:rPr>
          <w:rStyle w:val="47"/>
          <w:rFonts w:hint="eastAsia" w:ascii="宋体" w:hAnsi="宋体"/>
          <w:color w:val="auto"/>
          <w:sz w:val="24"/>
          <w:szCs w:val="24"/>
        </w:rPr>
        <w:t>四、 投标文件的提交</w:t>
      </w:r>
      <w:r>
        <w:rPr>
          <w:rFonts w:hint="eastAsia" w:ascii="宋体" w:hAnsi="宋体"/>
          <w:color w:val="auto"/>
          <w:sz w:val="24"/>
          <w:szCs w:val="24"/>
        </w:rPr>
        <w:tab/>
      </w:r>
      <w:r>
        <w:rPr>
          <w:rFonts w:hint="eastAsia" w:ascii="宋体" w:hAnsi="宋体"/>
          <w:color w:val="auto"/>
          <w:sz w:val="24"/>
          <w:szCs w:val="24"/>
        </w:rPr>
        <w:fldChar w:fldCharType="begin"/>
      </w:r>
      <w:r>
        <w:rPr>
          <w:rFonts w:hint="eastAsia" w:ascii="宋体" w:hAnsi="宋体"/>
          <w:color w:val="auto"/>
          <w:sz w:val="24"/>
          <w:szCs w:val="24"/>
        </w:rPr>
        <w:instrText xml:space="preserve"> PAGEREF _Toc352224152 \h </w:instrText>
      </w:r>
      <w:r>
        <w:rPr>
          <w:rFonts w:hint="eastAsia" w:ascii="宋体" w:hAnsi="宋体"/>
          <w:color w:val="auto"/>
          <w:sz w:val="24"/>
          <w:szCs w:val="24"/>
        </w:rPr>
        <w:fldChar w:fldCharType="separate"/>
      </w:r>
      <w:r>
        <w:rPr>
          <w:rFonts w:hint="eastAsia" w:ascii="宋体" w:hAnsi="宋体"/>
          <w:color w:val="auto"/>
          <w:sz w:val="24"/>
          <w:szCs w:val="24"/>
        </w:rPr>
        <w:t>25</w:t>
      </w:r>
      <w:r>
        <w:rPr>
          <w:rFonts w:hint="eastAsia" w:ascii="宋体" w:hAnsi="宋体"/>
          <w:color w:val="auto"/>
          <w:sz w:val="24"/>
          <w:szCs w:val="24"/>
        </w:rPr>
        <w:fldChar w:fldCharType="end"/>
      </w:r>
      <w:r>
        <w:rPr>
          <w:rFonts w:hint="eastAsia" w:ascii="宋体" w:hAnsi="宋体"/>
          <w:color w:val="auto"/>
          <w:sz w:val="24"/>
          <w:szCs w:val="24"/>
        </w:rPr>
        <w:fldChar w:fldCharType="end"/>
      </w:r>
    </w:p>
    <w:p>
      <w:pPr>
        <w:pStyle w:val="30"/>
        <w:tabs>
          <w:tab w:val="right" w:leader="dot" w:pos="8636"/>
        </w:tabs>
        <w:spacing w:line="360" w:lineRule="auto"/>
        <w:rPr>
          <w:rFonts w:ascii="宋体" w:hAnsi="宋体"/>
          <w:color w:val="auto"/>
          <w:sz w:val="24"/>
          <w:szCs w:val="24"/>
        </w:rPr>
      </w:pPr>
      <w:r>
        <w:rPr>
          <w:color w:val="auto"/>
        </w:rPr>
        <w:fldChar w:fldCharType="begin"/>
      </w:r>
      <w:r>
        <w:rPr>
          <w:color w:val="auto"/>
        </w:rPr>
        <w:instrText xml:space="preserve"> HYPERLINK \l "_Toc352224153" </w:instrText>
      </w:r>
      <w:r>
        <w:rPr>
          <w:color w:val="auto"/>
        </w:rPr>
        <w:fldChar w:fldCharType="separate"/>
      </w:r>
      <w:r>
        <w:rPr>
          <w:rStyle w:val="47"/>
          <w:rFonts w:hint="eastAsia" w:ascii="宋体" w:hAnsi="宋体"/>
          <w:color w:val="auto"/>
          <w:sz w:val="24"/>
          <w:szCs w:val="24"/>
        </w:rPr>
        <w:t>五、  投标文件的评估和比较</w:t>
      </w:r>
      <w:r>
        <w:rPr>
          <w:rFonts w:hint="eastAsia" w:ascii="宋体" w:hAnsi="宋体"/>
          <w:color w:val="auto"/>
          <w:sz w:val="24"/>
          <w:szCs w:val="24"/>
        </w:rPr>
        <w:tab/>
      </w:r>
      <w:r>
        <w:rPr>
          <w:rFonts w:hint="eastAsia" w:ascii="宋体" w:hAnsi="宋体"/>
          <w:color w:val="auto"/>
          <w:sz w:val="24"/>
          <w:szCs w:val="24"/>
        </w:rPr>
        <w:fldChar w:fldCharType="begin"/>
      </w:r>
      <w:r>
        <w:rPr>
          <w:rFonts w:hint="eastAsia" w:ascii="宋体" w:hAnsi="宋体"/>
          <w:color w:val="auto"/>
          <w:sz w:val="24"/>
          <w:szCs w:val="24"/>
        </w:rPr>
        <w:instrText xml:space="preserve"> PAGEREF _Toc352224153 \h </w:instrText>
      </w:r>
      <w:r>
        <w:rPr>
          <w:rFonts w:hint="eastAsia" w:ascii="宋体" w:hAnsi="宋体"/>
          <w:color w:val="auto"/>
          <w:sz w:val="24"/>
          <w:szCs w:val="24"/>
        </w:rPr>
        <w:fldChar w:fldCharType="separate"/>
      </w:r>
      <w:r>
        <w:rPr>
          <w:rFonts w:hint="eastAsia" w:ascii="宋体" w:hAnsi="宋体"/>
          <w:color w:val="auto"/>
          <w:sz w:val="24"/>
          <w:szCs w:val="24"/>
        </w:rPr>
        <w:t>26</w:t>
      </w:r>
      <w:r>
        <w:rPr>
          <w:rFonts w:hint="eastAsia" w:ascii="宋体" w:hAnsi="宋体"/>
          <w:color w:val="auto"/>
          <w:sz w:val="24"/>
          <w:szCs w:val="24"/>
        </w:rPr>
        <w:fldChar w:fldCharType="end"/>
      </w:r>
      <w:r>
        <w:rPr>
          <w:rFonts w:hint="eastAsia" w:ascii="宋体" w:hAnsi="宋体"/>
          <w:color w:val="auto"/>
          <w:sz w:val="24"/>
          <w:szCs w:val="24"/>
        </w:rPr>
        <w:fldChar w:fldCharType="end"/>
      </w:r>
    </w:p>
    <w:p>
      <w:pPr>
        <w:pStyle w:val="30"/>
        <w:tabs>
          <w:tab w:val="right" w:leader="dot" w:pos="8636"/>
        </w:tabs>
        <w:spacing w:line="360" w:lineRule="auto"/>
        <w:rPr>
          <w:rFonts w:ascii="宋体" w:hAnsi="宋体"/>
          <w:color w:val="auto"/>
          <w:sz w:val="24"/>
          <w:szCs w:val="24"/>
        </w:rPr>
      </w:pPr>
      <w:r>
        <w:rPr>
          <w:color w:val="auto"/>
        </w:rPr>
        <w:fldChar w:fldCharType="begin"/>
      </w:r>
      <w:r>
        <w:rPr>
          <w:color w:val="auto"/>
        </w:rPr>
        <w:instrText xml:space="preserve"> HYPERLINK \l "_Toc352224154" </w:instrText>
      </w:r>
      <w:r>
        <w:rPr>
          <w:color w:val="auto"/>
        </w:rPr>
        <w:fldChar w:fldCharType="separate"/>
      </w:r>
      <w:r>
        <w:rPr>
          <w:rStyle w:val="47"/>
          <w:rFonts w:hint="eastAsia" w:ascii="宋体" w:hAnsi="宋体"/>
          <w:color w:val="auto"/>
          <w:sz w:val="24"/>
          <w:szCs w:val="24"/>
        </w:rPr>
        <w:t>六、  定标与签订合同</w:t>
      </w:r>
      <w:r>
        <w:rPr>
          <w:rFonts w:hint="eastAsia" w:ascii="宋体" w:hAnsi="宋体"/>
          <w:color w:val="auto"/>
          <w:sz w:val="24"/>
          <w:szCs w:val="24"/>
        </w:rPr>
        <w:tab/>
      </w:r>
      <w:r>
        <w:rPr>
          <w:rFonts w:hint="eastAsia" w:ascii="宋体" w:hAnsi="宋体"/>
          <w:color w:val="auto"/>
          <w:sz w:val="24"/>
          <w:szCs w:val="24"/>
        </w:rPr>
        <w:fldChar w:fldCharType="begin"/>
      </w:r>
      <w:r>
        <w:rPr>
          <w:rFonts w:hint="eastAsia" w:ascii="宋体" w:hAnsi="宋体"/>
          <w:color w:val="auto"/>
          <w:sz w:val="24"/>
          <w:szCs w:val="24"/>
        </w:rPr>
        <w:instrText xml:space="preserve"> PAGEREF _Toc352224154 \h </w:instrText>
      </w:r>
      <w:r>
        <w:rPr>
          <w:rFonts w:hint="eastAsia" w:ascii="宋体" w:hAnsi="宋体"/>
          <w:color w:val="auto"/>
          <w:sz w:val="24"/>
          <w:szCs w:val="24"/>
        </w:rPr>
        <w:fldChar w:fldCharType="separate"/>
      </w:r>
      <w:r>
        <w:rPr>
          <w:rFonts w:hint="eastAsia" w:ascii="宋体" w:hAnsi="宋体"/>
          <w:color w:val="auto"/>
          <w:sz w:val="24"/>
          <w:szCs w:val="24"/>
        </w:rPr>
        <w:t>29</w:t>
      </w:r>
      <w:r>
        <w:rPr>
          <w:rFonts w:hint="eastAsia" w:ascii="宋体" w:hAnsi="宋体"/>
          <w:color w:val="auto"/>
          <w:sz w:val="24"/>
          <w:szCs w:val="24"/>
        </w:rPr>
        <w:fldChar w:fldCharType="end"/>
      </w:r>
      <w:r>
        <w:rPr>
          <w:rFonts w:hint="eastAsia" w:ascii="宋体" w:hAnsi="宋体"/>
          <w:color w:val="auto"/>
          <w:sz w:val="24"/>
          <w:szCs w:val="24"/>
        </w:rPr>
        <w:fldChar w:fldCharType="end"/>
      </w:r>
    </w:p>
    <w:p>
      <w:pPr>
        <w:pStyle w:val="26"/>
        <w:tabs>
          <w:tab w:val="right" w:leader="dot" w:pos="8636"/>
        </w:tabs>
        <w:spacing w:line="360" w:lineRule="auto"/>
        <w:rPr>
          <w:rFonts w:ascii="宋体" w:hAnsi="宋体"/>
          <w:color w:val="auto"/>
          <w:sz w:val="24"/>
          <w:szCs w:val="24"/>
        </w:rPr>
      </w:pPr>
      <w:r>
        <w:rPr>
          <w:color w:val="auto"/>
        </w:rPr>
        <w:fldChar w:fldCharType="begin"/>
      </w:r>
      <w:r>
        <w:rPr>
          <w:color w:val="auto"/>
        </w:rPr>
        <w:instrText xml:space="preserve"> HYPERLINK \l "_Toc352224155" </w:instrText>
      </w:r>
      <w:r>
        <w:rPr>
          <w:color w:val="auto"/>
        </w:rPr>
        <w:fldChar w:fldCharType="separate"/>
      </w:r>
      <w:r>
        <w:rPr>
          <w:rStyle w:val="47"/>
          <w:rFonts w:hint="eastAsia" w:ascii="宋体" w:hAnsi="宋体"/>
          <w:b/>
          <w:color w:val="auto"/>
          <w:sz w:val="24"/>
          <w:szCs w:val="24"/>
        </w:rPr>
        <w:t>第三章、招标内容及要求</w:t>
      </w:r>
      <w:r>
        <w:rPr>
          <w:rFonts w:hint="eastAsia" w:ascii="宋体" w:hAnsi="宋体"/>
          <w:color w:val="auto"/>
          <w:sz w:val="24"/>
          <w:szCs w:val="24"/>
        </w:rPr>
        <w:tab/>
      </w:r>
      <w:r>
        <w:rPr>
          <w:rFonts w:hint="eastAsia" w:ascii="宋体" w:hAnsi="宋体"/>
          <w:color w:val="auto"/>
          <w:sz w:val="24"/>
          <w:szCs w:val="24"/>
        </w:rPr>
        <w:fldChar w:fldCharType="begin"/>
      </w:r>
      <w:r>
        <w:rPr>
          <w:rFonts w:hint="eastAsia" w:ascii="宋体" w:hAnsi="宋体"/>
          <w:color w:val="auto"/>
          <w:sz w:val="24"/>
          <w:szCs w:val="24"/>
        </w:rPr>
        <w:instrText xml:space="preserve"> PAGEREF _Toc352224155 \h </w:instrText>
      </w:r>
      <w:r>
        <w:rPr>
          <w:rFonts w:hint="eastAsia" w:ascii="宋体" w:hAnsi="宋体"/>
          <w:color w:val="auto"/>
          <w:sz w:val="24"/>
          <w:szCs w:val="24"/>
        </w:rPr>
        <w:fldChar w:fldCharType="separate"/>
      </w:r>
      <w:r>
        <w:rPr>
          <w:rFonts w:hint="eastAsia" w:ascii="宋体" w:hAnsi="宋体"/>
          <w:color w:val="auto"/>
          <w:sz w:val="24"/>
          <w:szCs w:val="24"/>
        </w:rPr>
        <w:t>32</w:t>
      </w:r>
      <w:r>
        <w:rPr>
          <w:rFonts w:hint="eastAsia" w:ascii="宋体" w:hAnsi="宋体"/>
          <w:color w:val="auto"/>
          <w:sz w:val="24"/>
          <w:szCs w:val="24"/>
        </w:rPr>
        <w:fldChar w:fldCharType="end"/>
      </w:r>
      <w:r>
        <w:rPr>
          <w:rFonts w:hint="eastAsia" w:ascii="宋体" w:hAnsi="宋体"/>
          <w:color w:val="auto"/>
          <w:sz w:val="24"/>
          <w:szCs w:val="24"/>
        </w:rPr>
        <w:fldChar w:fldCharType="end"/>
      </w:r>
    </w:p>
    <w:p>
      <w:pPr>
        <w:pStyle w:val="26"/>
        <w:tabs>
          <w:tab w:val="right" w:leader="dot" w:pos="8636"/>
        </w:tabs>
        <w:spacing w:line="360" w:lineRule="auto"/>
        <w:rPr>
          <w:rFonts w:ascii="宋体" w:hAnsi="宋体"/>
          <w:color w:val="auto"/>
          <w:sz w:val="24"/>
          <w:szCs w:val="24"/>
        </w:rPr>
      </w:pPr>
      <w:r>
        <w:rPr>
          <w:color w:val="auto"/>
        </w:rPr>
        <w:fldChar w:fldCharType="begin"/>
      </w:r>
      <w:r>
        <w:rPr>
          <w:color w:val="auto"/>
        </w:rPr>
        <w:instrText xml:space="preserve"> HYPERLINK \l "_Toc352224156" </w:instrText>
      </w:r>
      <w:r>
        <w:rPr>
          <w:color w:val="auto"/>
        </w:rPr>
        <w:fldChar w:fldCharType="separate"/>
      </w:r>
      <w:r>
        <w:rPr>
          <w:rFonts w:hint="eastAsia" w:ascii="宋体" w:hAnsi="宋体"/>
          <w:b/>
          <w:bCs/>
          <w:color w:val="auto"/>
          <w:sz w:val="24"/>
          <w:szCs w:val="24"/>
        </w:rPr>
        <w:t>第四章  参考合同</w:t>
      </w:r>
      <w:r>
        <w:rPr>
          <w:rFonts w:hint="eastAsia" w:ascii="宋体" w:hAnsi="宋体"/>
          <w:color w:val="auto"/>
          <w:sz w:val="24"/>
          <w:szCs w:val="24"/>
        </w:rPr>
        <w:tab/>
      </w:r>
      <w:r>
        <w:rPr>
          <w:rFonts w:hint="eastAsia" w:ascii="宋体" w:hAnsi="宋体"/>
          <w:color w:val="auto"/>
          <w:sz w:val="24"/>
          <w:szCs w:val="24"/>
        </w:rPr>
        <w:t>4</w:t>
      </w:r>
      <w:r>
        <w:rPr>
          <w:rFonts w:hint="eastAsia" w:ascii="宋体" w:hAnsi="宋体"/>
          <w:color w:val="auto"/>
          <w:sz w:val="24"/>
          <w:szCs w:val="24"/>
        </w:rPr>
        <w:fldChar w:fldCharType="end"/>
      </w:r>
      <w:r>
        <w:rPr>
          <w:rFonts w:hint="eastAsia" w:ascii="宋体" w:hAnsi="宋体"/>
          <w:color w:val="auto"/>
          <w:sz w:val="24"/>
          <w:szCs w:val="24"/>
        </w:rPr>
        <w:t>0</w:t>
      </w:r>
    </w:p>
    <w:p>
      <w:pPr>
        <w:pStyle w:val="26"/>
        <w:tabs>
          <w:tab w:val="right" w:leader="dot" w:pos="8636"/>
        </w:tabs>
        <w:spacing w:line="360" w:lineRule="auto"/>
        <w:rPr>
          <w:rFonts w:ascii="宋体" w:hAnsi="宋体"/>
          <w:color w:val="auto"/>
          <w:sz w:val="24"/>
          <w:szCs w:val="24"/>
        </w:rPr>
      </w:pPr>
      <w:r>
        <w:rPr>
          <w:color w:val="auto"/>
        </w:rPr>
        <w:fldChar w:fldCharType="begin"/>
      </w:r>
      <w:r>
        <w:rPr>
          <w:color w:val="auto"/>
        </w:rPr>
        <w:instrText xml:space="preserve"> HYPERLINK \l "_Toc352224157" </w:instrText>
      </w:r>
      <w:r>
        <w:rPr>
          <w:color w:val="auto"/>
        </w:rPr>
        <w:fldChar w:fldCharType="separate"/>
      </w:r>
      <w:r>
        <w:rPr>
          <w:rStyle w:val="47"/>
          <w:rFonts w:hint="eastAsia" w:ascii="宋体" w:hAnsi="宋体"/>
          <w:b/>
          <w:bCs/>
          <w:color w:val="auto"/>
          <w:sz w:val="24"/>
          <w:szCs w:val="24"/>
        </w:rPr>
        <w:t>第五章  投标文件格式</w:t>
      </w:r>
      <w:r>
        <w:rPr>
          <w:rFonts w:hint="eastAsia" w:ascii="宋体" w:hAnsi="宋体"/>
          <w:color w:val="auto"/>
          <w:sz w:val="24"/>
          <w:szCs w:val="24"/>
        </w:rPr>
        <w:tab/>
      </w:r>
      <w:r>
        <w:rPr>
          <w:rFonts w:hint="eastAsia" w:ascii="宋体" w:hAnsi="宋体"/>
          <w:color w:val="auto"/>
          <w:sz w:val="24"/>
          <w:szCs w:val="24"/>
        </w:rPr>
        <w:fldChar w:fldCharType="begin"/>
      </w:r>
      <w:r>
        <w:rPr>
          <w:rFonts w:hint="eastAsia" w:ascii="宋体" w:hAnsi="宋体"/>
          <w:color w:val="auto"/>
          <w:sz w:val="24"/>
          <w:szCs w:val="24"/>
        </w:rPr>
        <w:instrText xml:space="preserve"> PAGEREF _Toc352224157 \h </w:instrText>
      </w:r>
      <w:r>
        <w:rPr>
          <w:rFonts w:hint="eastAsia" w:ascii="宋体" w:hAnsi="宋体"/>
          <w:color w:val="auto"/>
          <w:sz w:val="24"/>
          <w:szCs w:val="24"/>
        </w:rPr>
        <w:fldChar w:fldCharType="separate"/>
      </w:r>
      <w:r>
        <w:rPr>
          <w:rFonts w:hint="eastAsia" w:ascii="宋体" w:hAnsi="宋体"/>
          <w:color w:val="auto"/>
          <w:sz w:val="24"/>
          <w:szCs w:val="24"/>
        </w:rPr>
        <w:t>56</w:t>
      </w:r>
      <w:r>
        <w:rPr>
          <w:rFonts w:hint="eastAsia" w:ascii="宋体" w:hAnsi="宋体"/>
          <w:color w:val="auto"/>
          <w:sz w:val="24"/>
          <w:szCs w:val="24"/>
        </w:rPr>
        <w:fldChar w:fldCharType="end"/>
      </w:r>
      <w:r>
        <w:rPr>
          <w:rFonts w:hint="eastAsia" w:ascii="宋体" w:hAnsi="宋体"/>
          <w:color w:val="auto"/>
          <w:sz w:val="24"/>
          <w:szCs w:val="24"/>
        </w:rPr>
        <w:fldChar w:fldCharType="end"/>
      </w:r>
    </w:p>
    <w:p>
      <w:pPr>
        <w:pStyle w:val="30"/>
        <w:tabs>
          <w:tab w:val="right" w:leader="dot" w:pos="8636"/>
        </w:tabs>
        <w:spacing w:line="360" w:lineRule="auto"/>
        <w:rPr>
          <w:rFonts w:ascii="宋体" w:hAnsi="宋体"/>
          <w:color w:val="auto"/>
          <w:sz w:val="24"/>
          <w:szCs w:val="24"/>
        </w:rPr>
      </w:pPr>
      <w:r>
        <w:rPr>
          <w:color w:val="auto"/>
        </w:rPr>
        <w:fldChar w:fldCharType="begin"/>
      </w:r>
      <w:r>
        <w:rPr>
          <w:color w:val="auto"/>
        </w:rPr>
        <w:instrText xml:space="preserve"> HYPERLINK \l "_Toc352224158" </w:instrText>
      </w:r>
      <w:r>
        <w:rPr>
          <w:color w:val="auto"/>
        </w:rPr>
        <w:fldChar w:fldCharType="separate"/>
      </w:r>
      <w:r>
        <w:rPr>
          <w:rStyle w:val="47"/>
          <w:rFonts w:hint="eastAsia" w:ascii="宋体" w:hAnsi="宋体"/>
          <w:color w:val="auto"/>
          <w:sz w:val="24"/>
          <w:szCs w:val="24"/>
        </w:rPr>
        <w:t>封面格式：</w:t>
      </w:r>
      <w:r>
        <w:rPr>
          <w:rFonts w:hint="eastAsia" w:ascii="宋体" w:hAnsi="宋体"/>
          <w:color w:val="auto"/>
          <w:sz w:val="24"/>
          <w:szCs w:val="24"/>
        </w:rPr>
        <w:tab/>
      </w:r>
      <w:r>
        <w:rPr>
          <w:rFonts w:hint="eastAsia" w:ascii="宋体" w:hAnsi="宋体"/>
          <w:color w:val="auto"/>
          <w:sz w:val="24"/>
          <w:szCs w:val="24"/>
        </w:rPr>
        <w:fldChar w:fldCharType="begin"/>
      </w:r>
      <w:r>
        <w:rPr>
          <w:rFonts w:hint="eastAsia" w:ascii="宋体" w:hAnsi="宋体"/>
          <w:color w:val="auto"/>
          <w:sz w:val="24"/>
          <w:szCs w:val="24"/>
        </w:rPr>
        <w:instrText xml:space="preserve"> PAGEREF _Toc352224158 \h </w:instrText>
      </w:r>
      <w:r>
        <w:rPr>
          <w:rFonts w:hint="eastAsia" w:ascii="宋体" w:hAnsi="宋体"/>
          <w:color w:val="auto"/>
          <w:sz w:val="24"/>
          <w:szCs w:val="24"/>
        </w:rPr>
        <w:fldChar w:fldCharType="separate"/>
      </w:r>
      <w:r>
        <w:rPr>
          <w:rFonts w:hint="eastAsia" w:ascii="宋体" w:hAnsi="宋体"/>
          <w:color w:val="auto"/>
          <w:sz w:val="24"/>
          <w:szCs w:val="24"/>
        </w:rPr>
        <w:t>57</w:t>
      </w:r>
      <w:r>
        <w:rPr>
          <w:rFonts w:hint="eastAsia" w:ascii="宋体" w:hAnsi="宋体"/>
          <w:color w:val="auto"/>
          <w:sz w:val="24"/>
          <w:szCs w:val="24"/>
        </w:rPr>
        <w:fldChar w:fldCharType="end"/>
      </w:r>
      <w:r>
        <w:rPr>
          <w:rFonts w:hint="eastAsia" w:ascii="宋体" w:hAnsi="宋体"/>
          <w:color w:val="auto"/>
          <w:sz w:val="24"/>
          <w:szCs w:val="24"/>
        </w:rPr>
        <w:fldChar w:fldCharType="end"/>
      </w:r>
    </w:p>
    <w:p>
      <w:pPr>
        <w:pStyle w:val="30"/>
        <w:tabs>
          <w:tab w:val="right" w:leader="dot" w:pos="8636"/>
        </w:tabs>
        <w:spacing w:line="360" w:lineRule="auto"/>
        <w:rPr>
          <w:rFonts w:ascii="宋体" w:hAnsi="宋体"/>
          <w:color w:val="auto"/>
          <w:sz w:val="24"/>
          <w:szCs w:val="24"/>
        </w:rPr>
      </w:pPr>
      <w:r>
        <w:rPr>
          <w:color w:val="auto"/>
        </w:rPr>
        <w:fldChar w:fldCharType="begin"/>
      </w:r>
      <w:r>
        <w:rPr>
          <w:color w:val="auto"/>
        </w:rPr>
        <w:instrText xml:space="preserve"> HYPERLINK \l "_Toc352224159" </w:instrText>
      </w:r>
      <w:r>
        <w:rPr>
          <w:color w:val="auto"/>
        </w:rPr>
        <w:fldChar w:fldCharType="separate"/>
      </w:r>
      <w:r>
        <w:rPr>
          <w:rStyle w:val="47"/>
          <w:rFonts w:hint="eastAsia" w:ascii="宋体" w:hAnsi="宋体"/>
          <w:b/>
          <w:bCs/>
          <w:color w:val="auto"/>
          <w:sz w:val="24"/>
          <w:szCs w:val="24"/>
        </w:rPr>
        <w:t>一、报价部分</w:t>
      </w:r>
      <w:r>
        <w:rPr>
          <w:rFonts w:hint="eastAsia" w:ascii="宋体" w:hAnsi="宋体"/>
          <w:color w:val="auto"/>
          <w:sz w:val="24"/>
          <w:szCs w:val="24"/>
        </w:rPr>
        <w:tab/>
      </w:r>
      <w:r>
        <w:rPr>
          <w:rFonts w:hint="eastAsia" w:ascii="宋体" w:hAnsi="宋体"/>
          <w:color w:val="auto"/>
          <w:sz w:val="24"/>
          <w:szCs w:val="24"/>
        </w:rPr>
        <w:fldChar w:fldCharType="begin"/>
      </w:r>
      <w:r>
        <w:rPr>
          <w:rFonts w:hint="eastAsia" w:ascii="宋体" w:hAnsi="宋体"/>
          <w:color w:val="auto"/>
          <w:sz w:val="24"/>
          <w:szCs w:val="24"/>
        </w:rPr>
        <w:instrText xml:space="preserve"> PAGEREF _Toc352224159 \h </w:instrText>
      </w:r>
      <w:r>
        <w:rPr>
          <w:rFonts w:hint="eastAsia" w:ascii="宋体" w:hAnsi="宋体"/>
          <w:color w:val="auto"/>
          <w:sz w:val="24"/>
          <w:szCs w:val="24"/>
        </w:rPr>
        <w:fldChar w:fldCharType="separate"/>
      </w:r>
      <w:r>
        <w:rPr>
          <w:rFonts w:hint="eastAsia" w:ascii="宋体" w:hAnsi="宋体"/>
          <w:color w:val="auto"/>
          <w:sz w:val="24"/>
          <w:szCs w:val="24"/>
        </w:rPr>
        <w:t>58</w:t>
      </w:r>
      <w:r>
        <w:rPr>
          <w:rFonts w:hint="eastAsia" w:ascii="宋体" w:hAnsi="宋体"/>
          <w:color w:val="auto"/>
          <w:sz w:val="24"/>
          <w:szCs w:val="24"/>
        </w:rPr>
        <w:fldChar w:fldCharType="end"/>
      </w:r>
      <w:r>
        <w:rPr>
          <w:rFonts w:hint="eastAsia" w:ascii="宋体" w:hAnsi="宋体"/>
          <w:color w:val="auto"/>
          <w:sz w:val="24"/>
          <w:szCs w:val="24"/>
        </w:rPr>
        <w:fldChar w:fldCharType="end"/>
      </w:r>
    </w:p>
    <w:p>
      <w:pPr>
        <w:pStyle w:val="30"/>
        <w:tabs>
          <w:tab w:val="right" w:leader="dot" w:pos="8636"/>
        </w:tabs>
        <w:spacing w:line="360" w:lineRule="auto"/>
        <w:rPr>
          <w:rFonts w:ascii="宋体" w:hAnsi="宋体"/>
          <w:color w:val="auto"/>
          <w:sz w:val="24"/>
          <w:szCs w:val="24"/>
        </w:rPr>
      </w:pPr>
      <w:r>
        <w:rPr>
          <w:color w:val="auto"/>
        </w:rPr>
        <w:fldChar w:fldCharType="begin"/>
      </w:r>
      <w:r>
        <w:rPr>
          <w:color w:val="auto"/>
        </w:rPr>
        <w:instrText xml:space="preserve"> HYPERLINK \l "_Toc352224160" </w:instrText>
      </w:r>
      <w:r>
        <w:rPr>
          <w:color w:val="auto"/>
        </w:rPr>
        <w:fldChar w:fldCharType="separate"/>
      </w:r>
      <w:r>
        <w:rPr>
          <w:rStyle w:val="47"/>
          <w:rFonts w:hint="eastAsia" w:ascii="宋体" w:hAnsi="宋体"/>
          <w:color w:val="auto"/>
          <w:sz w:val="24"/>
          <w:szCs w:val="24"/>
        </w:rPr>
        <w:t>封面格式：</w:t>
      </w:r>
      <w:r>
        <w:rPr>
          <w:rFonts w:hint="eastAsia" w:ascii="宋体" w:hAnsi="宋体"/>
          <w:color w:val="auto"/>
          <w:sz w:val="24"/>
          <w:szCs w:val="24"/>
        </w:rPr>
        <w:tab/>
      </w:r>
      <w:r>
        <w:rPr>
          <w:rFonts w:hint="eastAsia" w:ascii="宋体" w:hAnsi="宋体"/>
          <w:color w:val="auto"/>
          <w:sz w:val="24"/>
          <w:szCs w:val="24"/>
        </w:rPr>
        <w:fldChar w:fldCharType="begin"/>
      </w:r>
      <w:r>
        <w:rPr>
          <w:rFonts w:hint="eastAsia" w:ascii="宋体" w:hAnsi="宋体"/>
          <w:color w:val="auto"/>
          <w:sz w:val="24"/>
          <w:szCs w:val="24"/>
        </w:rPr>
        <w:instrText xml:space="preserve"> PAGEREF _Toc352224160 \h </w:instrText>
      </w:r>
      <w:r>
        <w:rPr>
          <w:rFonts w:hint="eastAsia" w:ascii="宋体" w:hAnsi="宋体"/>
          <w:color w:val="auto"/>
          <w:sz w:val="24"/>
          <w:szCs w:val="24"/>
        </w:rPr>
        <w:fldChar w:fldCharType="separate"/>
      </w:r>
      <w:r>
        <w:rPr>
          <w:rFonts w:hint="eastAsia" w:ascii="宋体" w:hAnsi="宋体"/>
          <w:color w:val="auto"/>
          <w:sz w:val="24"/>
          <w:szCs w:val="24"/>
        </w:rPr>
        <w:t>62</w:t>
      </w:r>
      <w:r>
        <w:rPr>
          <w:rFonts w:hint="eastAsia" w:ascii="宋体" w:hAnsi="宋体"/>
          <w:color w:val="auto"/>
          <w:sz w:val="24"/>
          <w:szCs w:val="24"/>
        </w:rPr>
        <w:fldChar w:fldCharType="end"/>
      </w:r>
      <w:r>
        <w:rPr>
          <w:rFonts w:hint="eastAsia" w:ascii="宋体" w:hAnsi="宋体"/>
          <w:color w:val="auto"/>
          <w:sz w:val="24"/>
          <w:szCs w:val="24"/>
        </w:rPr>
        <w:fldChar w:fldCharType="end"/>
      </w:r>
    </w:p>
    <w:p>
      <w:pPr>
        <w:pStyle w:val="30"/>
        <w:tabs>
          <w:tab w:val="right" w:leader="dot" w:pos="8636"/>
        </w:tabs>
        <w:spacing w:line="360" w:lineRule="auto"/>
        <w:rPr>
          <w:rFonts w:ascii="宋体" w:hAnsi="宋体"/>
          <w:color w:val="auto"/>
          <w:sz w:val="24"/>
          <w:szCs w:val="24"/>
        </w:rPr>
      </w:pPr>
      <w:r>
        <w:rPr>
          <w:color w:val="auto"/>
        </w:rPr>
        <w:fldChar w:fldCharType="begin"/>
      </w:r>
      <w:r>
        <w:rPr>
          <w:color w:val="auto"/>
        </w:rPr>
        <w:instrText xml:space="preserve"> HYPERLINK \l "_Toc352224161" </w:instrText>
      </w:r>
      <w:r>
        <w:rPr>
          <w:color w:val="auto"/>
        </w:rPr>
        <w:fldChar w:fldCharType="separate"/>
      </w:r>
      <w:r>
        <w:rPr>
          <w:rStyle w:val="47"/>
          <w:rFonts w:hint="eastAsia" w:ascii="宋体" w:hAnsi="宋体"/>
          <w:b/>
          <w:bCs/>
          <w:color w:val="auto"/>
          <w:sz w:val="24"/>
          <w:szCs w:val="24"/>
        </w:rPr>
        <w:t>二、技术商务部分</w:t>
      </w:r>
      <w:r>
        <w:rPr>
          <w:rFonts w:hint="eastAsia" w:ascii="宋体" w:hAnsi="宋体"/>
          <w:color w:val="auto"/>
          <w:sz w:val="24"/>
          <w:szCs w:val="24"/>
        </w:rPr>
        <w:tab/>
      </w:r>
      <w:r>
        <w:rPr>
          <w:rFonts w:hint="eastAsia" w:ascii="宋体" w:hAnsi="宋体"/>
          <w:color w:val="auto"/>
          <w:sz w:val="24"/>
          <w:szCs w:val="24"/>
        </w:rPr>
        <w:fldChar w:fldCharType="begin"/>
      </w:r>
      <w:r>
        <w:rPr>
          <w:rFonts w:hint="eastAsia" w:ascii="宋体" w:hAnsi="宋体"/>
          <w:color w:val="auto"/>
          <w:sz w:val="24"/>
          <w:szCs w:val="24"/>
        </w:rPr>
        <w:instrText xml:space="preserve"> PAGEREF _Toc352224161 \h </w:instrText>
      </w:r>
      <w:r>
        <w:rPr>
          <w:rFonts w:hint="eastAsia" w:ascii="宋体" w:hAnsi="宋体"/>
          <w:color w:val="auto"/>
          <w:sz w:val="24"/>
          <w:szCs w:val="24"/>
        </w:rPr>
        <w:fldChar w:fldCharType="separate"/>
      </w:r>
      <w:r>
        <w:rPr>
          <w:rFonts w:hint="eastAsia" w:ascii="宋体" w:hAnsi="宋体"/>
          <w:color w:val="auto"/>
          <w:sz w:val="24"/>
          <w:szCs w:val="24"/>
        </w:rPr>
        <w:t>63</w:t>
      </w:r>
      <w:r>
        <w:rPr>
          <w:rFonts w:hint="eastAsia" w:ascii="宋体" w:hAnsi="宋体"/>
          <w:color w:val="auto"/>
          <w:sz w:val="24"/>
          <w:szCs w:val="24"/>
        </w:rPr>
        <w:fldChar w:fldCharType="end"/>
      </w:r>
      <w:r>
        <w:rPr>
          <w:rFonts w:hint="eastAsia" w:ascii="宋体" w:hAnsi="宋体"/>
          <w:color w:val="auto"/>
          <w:sz w:val="24"/>
          <w:szCs w:val="24"/>
        </w:rPr>
        <w:fldChar w:fldCharType="end"/>
      </w:r>
    </w:p>
    <w:p>
      <w:pPr>
        <w:pStyle w:val="26"/>
        <w:tabs>
          <w:tab w:val="right" w:leader="dot" w:pos="8636"/>
        </w:tabs>
        <w:spacing w:line="360" w:lineRule="auto"/>
        <w:rPr>
          <w:rFonts w:ascii="宋体" w:hAnsi="宋体"/>
          <w:color w:val="auto"/>
          <w:sz w:val="24"/>
          <w:szCs w:val="24"/>
        </w:rPr>
      </w:pPr>
      <w:r>
        <w:rPr>
          <w:color w:val="auto"/>
        </w:rPr>
        <w:fldChar w:fldCharType="begin"/>
      </w:r>
      <w:r>
        <w:rPr>
          <w:color w:val="auto"/>
        </w:rPr>
        <w:instrText xml:space="preserve"> HYPERLINK \l "_Toc352224162" </w:instrText>
      </w:r>
      <w:r>
        <w:rPr>
          <w:color w:val="auto"/>
        </w:rPr>
        <w:fldChar w:fldCharType="separate"/>
      </w:r>
      <w:r>
        <w:rPr>
          <w:rStyle w:val="47"/>
          <w:rFonts w:hint="eastAsia" w:ascii="宋体" w:hAnsi="宋体"/>
          <w:b/>
          <w:bCs/>
          <w:color w:val="auto"/>
          <w:sz w:val="24"/>
          <w:szCs w:val="24"/>
        </w:rPr>
        <w:t>第六章  招标相关附件</w:t>
      </w:r>
      <w:r>
        <w:rPr>
          <w:rFonts w:hint="eastAsia" w:ascii="宋体" w:hAnsi="宋体"/>
          <w:color w:val="auto"/>
          <w:sz w:val="24"/>
          <w:szCs w:val="24"/>
        </w:rPr>
        <w:tab/>
      </w:r>
      <w:r>
        <w:rPr>
          <w:rFonts w:hint="eastAsia" w:ascii="宋体" w:hAnsi="宋体"/>
          <w:color w:val="auto"/>
          <w:sz w:val="24"/>
          <w:szCs w:val="24"/>
        </w:rPr>
        <w:fldChar w:fldCharType="begin"/>
      </w:r>
      <w:r>
        <w:rPr>
          <w:rFonts w:hint="eastAsia" w:ascii="宋体" w:hAnsi="宋体"/>
          <w:color w:val="auto"/>
          <w:sz w:val="24"/>
          <w:szCs w:val="24"/>
        </w:rPr>
        <w:instrText xml:space="preserve"> PAGEREF _Toc352224162 \h </w:instrText>
      </w:r>
      <w:r>
        <w:rPr>
          <w:rFonts w:hint="eastAsia" w:ascii="宋体" w:hAnsi="宋体"/>
          <w:color w:val="auto"/>
          <w:sz w:val="24"/>
          <w:szCs w:val="24"/>
        </w:rPr>
        <w:fldChar w:fldCharType="separate"/>
      </w:r>
      <w:r>
        <w:rPr>
          <w:rFonts w:hint="eastAsia" w:ascii="宋体" w:hAnsi="宋体"/>
          <w:color w:val="auto"/>
          <w:sz w:val="24"/>
          <w:szCs w:val="24"/>
        </w:rPr>
        <w:t>84</w:t>
      </w:r>
      <w:r>
        <w:rPr>
          <w:rFonts w:hint="eastAsia" w:ascii="宋体" w:hAnsi="宋体"/>
          <w:color w:val="auto"/>
          <w:sz w:val="24"/>
          <w:szCs w:val="24"/>
        </w:rPr>
        <w:fldChar w:fldCharType="end"/>
      </w:r>
      <w:r>
        <w:rPr>
          <w:rFonts w:hint="eastAsia" w:ascii="宋体" w:hAnsi="宋体"/>
          <w:color w:val="auto"/>
          <w:sz w:val="24"/>
          <w:szCs w:val="24"/>
        </w:rPr>
        <w:fldChar w:fldCharType="end"/>
      </w:r>
    </w:p>
    <w:p>
      <w:pPr>
        <w:pStyle w:val="30"/>
        <w:tabs>
          <w:tab w:val="right" w:leader="dot" w:pos="8636"/>
        </w:tabs>
        <w:spacing w:line="360" w:lineRule="auto"/>
        <w:rPr>
          <w:rFonts w:ascii="宋体" w:hAnsi="宋体"/>
          <w:color w:val="auto"/>
          <w:sz w:val="24"/>
          <w:szCs w:val="24"/>
        </w:rPr>
      </w:pPr>
      <w:r>
        <w:rPr>
          <w:color w:val="auto"/>
        </w:rPr>
        <w:fldChar w:fldCharType="begin"/>
      </w:r>
      <w:r>
        <w:rPr>
          <w:color w:val="auto"/>
        </w:rPr>
        <w:instrText xml:space="preserve"> HYPERLINK \l "_Toc352224163" </w:instrText>
      </w:r>
      <w:r>
        <w:rPr>
          <w:color w:val="auto"/>
        </w:rPr>
        <w:fldChar w:fldCharType="separate"/>
      </w:r>
      <w:r>
        <w:rPr>
          <w:rStyle w:val="47"/>
          <w:rFonts w:hint="eastAsia" w:ascii="宋体" w:hAnsi="宋体"/>
          <w:b/>
          <w:color w:val="auto"/>
          <w:sz w:val="24"/>
          <w:szCs w:val="24"/>
        </w:rPr>
        <w:t>附件1：</w:t>
      </w:r>
      <w:r>
        <w:rPr>
          <w:rFonts w:hint="eastAsia" w:ascii="宋体" w:hAnsi="宋体"/>
          <w:color w:val="auto"/>
          <w:sz w:val="24"/>
          <w:szCs w:val="24"/>
        </w:rPr>
        <w:tab/>
      </w:r>
      <w:r>
        <w:rPr>
          <w:rFonts w:hint="eastAsia" w:ascii="宋体" w:hAnsi="宋体"/>
          <w:color w:val="auto"/>
          <w:sz w:val="24"/>
          <w:szCs w:val="24"/>
        </w:rPr>
        <w:fldChar w:fldCharType="begin"/>
      </w:r>
      <w:r>
        <w:rPr>
          <w:rFonts w:hint="eastAsia" w:ascii="宋体" w:hAnsi="宋体"/>
          <w:color w:val="auto"/>
          <w:sz w:val="24"/>
          <w:szCs w:val="24"/>
        </w:rPr>
        <w:instrText xml:space="preserve"> PAGEREF _Toc352224163 \h </w:instrText>
      </w:r>
      <w:r>
        <w:rPr>
          <w:rFonts w:hint="eastAsia" w:ascii="宋体" w:hAnsi="宋体"/>
          <w:color w:val="auto"/>
          <w:sz w:val="24"/>
          <w:szCs w:val="24"/>
        </w:rPr>
        <w:fldChar w:fldCharType="separate"/>
      </w:r>
      <w:r>
        <w:rPr>
          <w:rFonts w:hint="eastAsia" w:ascii="宋体" w:hAnsi="宋体"/>
          <w:color w:val="auto"/>
          <w:sz w:val="24"/>
          <w:szCs w:val="24"/>
        </w:rPr>
        <w:t>84</w:t>
      </w:r>
      <w:r>
        <w:rPr>
          <w:rFonts w:hint="eastAsia" w:ascii="宋体" w:hAnsi="宋体"/>
          <w:color w:val="auto"/>
          <w:sz w:val="24"/>
          <w:szCs w:val="24"/>
        </w:rPr>
        <w:fldChar w:fldCharType="end"/>
      </w:r>
      <w:r>
        <w:rPr>
          <w:rFonts w:hint="eastAsia" w:ascii="宋体" w:hAnsi="宋体"/>
          <w:color w:val="auto"/>
          <w:sz w:val="24"/>
          <w:szCs w:val="24"/>
        </w:rPr>
        <w:fldChar w:fldCharType="end"/>
      </w:r>
    </w:p>
    <w:p>
      <w:pPr>
        <w:pStyle w:val="30"/>
        <w:tabs>
          <w:tab w:val="right" w:leader="dot" w:pos="8636"/>
        </w:tabs>
        <w:spacing w:line="360" w:lineRule="auto"/>
        <w:rPr>
          <w:rFonts w:ascii="宋体" w:hAnsi="宋体"/>
          <w:color w:val="auto"/>
          <w:sz w:val="24"/>
          <w:szCs w:val="24"/>
        </w:rPr>
      </w:pPr>
      <w:r>
        <w:rPr>
          <w:color w:val="auto"/>
        </w:rPr>
        <w:fldChar w:fldCharType="begin"/>
      </w:r>
      <w:r>
        <w:rPr>
          <w:color w:val="auto"/>
        </w:rPr>
        <w:instrText xml:space="preserve"> HYPERLINK \l "_Toc352224164" </w:instrText>
      </w:r>
      <w:r>
        <w:rPr>
          <w:color w:val="auto"/>
        </w:rPr>
        <w:fldChar w:fldCharType="separate"/>
      </w:r>
      <w:r>
        <w:rPr>
          <w:rStyle w:val="47"/>
          <w:rFonts w:hint="eastAsia" w:ascii="宋体" w:hAnsi="宋体"/>
          <w:b/>
          <w:color w:val="auto"/>
          <w:sz w:val="24"/>
          <w:szCs w:val="24"/>
        </w:rPr>
        <w:t>招标文件领取确认函</w:t>
      </w:r>
      <w:r>
        <w:rPr>
          <w:rFonts w:hint="eastAsia" w:ascii="宋体" w:hAnsi="宋体"/>
          <w:color w:val="auto"/>
          <w:sz w:val="24"/>
          <w:szCs w:val="24"/>
        </w:rPr>
        <w:tab/>
      </w:r>
      <w:r>
        <w:rPr>
          <w:rFonts w:hint="eastAsia" w:ascii="宋体" w:hAnsi="宋体"/>
          <w:color w:val="auto"/>
          <w:sz w:val="24"/>
          <w:szCs w:val="24"/>
        </w:rPr>
        <w:fldChar w:fldCharType="begin"/>
      </w:r>
      <w:r>
        <w:rPr>
          <w:rFonts w:hint="eastAsia" w:ascii="宋体" w:hAnsi="宋体"/>
          <w:color w:val="auto"/>
          <w:sz w:val="24"/>
          <w:szCs w:val="24"/>
        </w:rPr>
        <w:instrText xml:space="preserve"> PAGEREF _Toc352224164 \h </w:instrText>
      </w:r>
      <w:r>
        <w:rPr>
          <w:rFonts w:hint="eastAsia" w:ascii="宋体" w:hAnsi="宋体"/>
          <w:color w:val="auto"/>
          <w:sz w:val="24"/>
          <w:szCs w:val="24"/>
        </w:rPr>
        <w:fldChar w:fldCharType="separate"/>
      </w:r>
      <w:r>
        <w:rPr>
          <w:rFonts w:hint="eastAsia" w:ascii="宋体" w:hAnsi="宋体"/>
          <w:color w:val="auto"/>
          <w:sz w:val="24"/>
          <w:szCs w:val="24"/>
        </w:rPr>
        <w:t>84</w:t>
      </w:r>
      <w:r>
        <w:rPr>
          <w:rFonts w:hint="eastAsia" w:ascii="宋体" w:hAnsi="宋体"/>
          <w:color w:val="auto"/>
          <w:sz w:val="24"/>
          <w:szCs w:val="24"/>
        </w:rPr>
        <w:fldChar w:fldCharType="end"/>
      </w:r>
      <w:r>
        <w:rPr>
          <w:rFonts w:hint="eastAsia" w:ascii="宋体" w:hAnsi="宋体"/>
          <w:color w:val="auto"/>
          <w:sz w:val="24"/>
          <w:szCs w:val="24"/>
        </w:rPr>
        <w:fldChar w:fldCharType="end"/>
      </w:r>
    </w:p>
    <w:p>
      <w:pPr>
        <w:pStyle w:val="30"/>
        <w:tabs>
          <w:tab w:val="right" w:leader="dot" w:pos="8636"/>
        </w:tabs>
        <w:spacing w:line="360" w:lineRule="auto"/>
        <w:rPr>
          <w:rFonts w:ascii="宋体" w:hAnsi="宋体"/>
          <w:color w:val="auto"/>
          <w:sz w:val="24"/>
          <w:szCs w:val="24"/>
        </w:rPr>
      </w:pPr>
      <w:r>
        <w:rPr>
          <w:color w:val="auto"/>
        </w:rPr>
        <w:fldChar w:fldCharType="begin"/>
      </w:r>
      <w:r>
        <w:rPr>
          <w:color w:val="auto"/>
        </w:rPr>
        <w:instrText xml:space="preserve"> HYPERLINK \l "_Toc352224165" </w:instrText>
      </w:r>
      <w:r>
        <w:rPr>
          <w:color w:val="auto"/>
        </w:rPr>
        <w:fldChar w:fldCharType="separate"/>
      </w:r>
      <w:r>
        <w:rPr>
          <w:rStyle w:val="47"/>
          <w:rFonts w:hint="eastAsia" w:ascii="宋体" w:hAnsi="宋体"/>
          <w:b/>
          <w:color w:val="auto"/>
          <w:sz w:val="24"/>
          <w:szCs w:val="24"/>
        </w:rPr>
        <w:t>附件2：投标文件标准装订范本</w:t>
      </w:r>
      <w:r>
        <w:rPr>
          <w:rFonts w:hint="eastAsia" w:ascii="宋体" w:hAnsi="宋体"/>
          <w:color w:val="auto"/>
          <w:sz w:val="24"/>
          <w:szCs w:val="24"/>
        </w:rPr>
        <w:tab/>
      </w:r>
      <w:r>
        <w:rPr>
          <w:rFonts w:hint="eastAsia" w:ascii="宋体" w:hAnsi="宋体"/>
          <w:color w:val="auto"/>
          <w:sz w:val="24"/>
          <w:szCs w:val="24"/>
        </w:rPr>
        <w:fldChar w:fldCharType="begin"/>
      </w:r>
      <w:r>
        <w:rPr>
          <w:rFonts w:hint="eastAsia" w:ascii="宋体" w:hAnsi="宋体"/>
          <w:color w:val="auto"/>
          <w:sz w:val="24"/>
          <w:szCs w:val="24"/>
        </w:rPr>
        <w:instrText xml:space="preserve"> PAGEREF _Toc352224165 \h </w:instrText>
      </w:r>
      <w:r>
        <w:rPr>
          <w:rFonts w:hint="eastAsia" w:ascii="宋体" w:hAnsi="宋体"/>
          <w:color w:val="auto"/>
          <w:sz w:val="24"/>
          <w:szCs w:val="24"/>
        </w:rPr>
        <w:fldChar w:fldCharType="separate"/>
      </w:r>
      <w:r>
        <w:rPr>
          <w:rFonts w:hint="eastAsia" w:ascii="宋体" w:hAnsi="宋体"/>
          <w:color w:val="auto"/>
          <w:sz w:val="24"/>
          <w:szCs w:val="24"/>
        </w:rPr>
        <w:t>87</w:t>
      </w:r>
      <w:r>
        <w:rPr>
          <w:rFonts w:hint="eastAsia" w:ascii="宋体" w:hAnsi="宋体"/>
          <w:color w:val="auto"/>
          <w:sz w:val="24"/>
          <w:szCs w:val="24"/>
        </w:rPr>
        <w:fldChar w:fldCharType="end"/>
      </w:r>
      <w:r>
        <w:rPr>
          <w:rFonts w:hint="eastAsia" w:ascii="宋体" w:hAnsi="宋体"/>
          <w:color w:val="auto"/>
          <w:sz w:val="24"/>
          <w:szCs w:val="24"/>
        </w:rPr>
        <w:fldChar w:fldCharType="end"/>
      </w:r>
    </w:p>
    <w:p>
      <w:pPr>
        <w:pStyle w:val="26"/>
        <w:tabs>
          <w:tab w:val="right" w:leader="dot" w:pos="8636"/>
        </w:tabs>
        <w:spacing w:line="360" w:lineRule="auto"/>
        <w:jc w:val="left"/>
        <w:rPr>
          <w:color w:val="auto"/>
          <w:sz w:val="44"/>
        </w:rPr>
      </w:pPr>
      <w:r>
        <w:rPr>
          <w:rFonts w:hint="eastAsia"/>
          <w:color w:val="auto"/>
        </w:rPr>
        <w:fldChar w:fldCharType="end"/>
      </w:r>
    </w:p>
    <w:p>
      <w:pPr>
        <w:spacing w:line="360" w:lineRule="auto"/>
        <w:ind w:firstLine="480" w:firstLineChars="200"/>
        <w:rPr>
          <w:rFonts w:ascii="宋体" w:hAnsi="宋体"/>
          <w:color w:val="auto"/>
          <w:sz w:val="24"/>
        </w:rPr>
      </w:pPr>
      <w:r>
        <w:rPr>
          <w:rFonts w:hint="eastAsia" w:ascii="宋体" w:hAnsi="宋体"/>
          <w:color w:val="auto"/>
          <w:sz w:val="24"/>
        </w:rPr>
        <w:t>注：本招标文件</w:t>
      </w:r>
      <w:r>
        <w:rPr>
          <w:rFonts w:hint="eastAsia" w:ascii="宋体" w:hAnsi="宋体"/>
          <w:color w:val="auto"/>
          <w:sz w:val="24"/>
          <w:highlight w:val="yellow"/>
        </w:rPr>
        <w:t>共</w:t>
      </w:r>
      <w:r>
        <w:rPr>
          <w:rFonts w:hint="eastAsia" w:ascii="宋体" w:hAnsi="宋体"/>
          <w:color w:val="auto"/>
          <w:sz w:val="24"/>
          <w:highlight w:val="yellow"/>
          <w:u w:val="single"/>
        </w:rPr>
        <w:t>8</w:t>
      </w:r>
      <w:r>
        <w:rPr>
          <w:rFonts w:hint="eastAsia" w:ascii="宋体" w:hAnsi="宋体"/>
          <w:color w:val="auto"/>
          <w:sz w:val="24"/>
          <w:highlight w:val="yellow"/>
          <w:u w:val="single"/>
          <w:lang w:val="en-US" w:eastAsia="zh-CN"/>
        </w:rPr>
        <w:t>7</w:t>
      </w:r>
      <w:r>
        <w:rPr>
          <w:rFonts w:hint="eastAsia" w:ascii="宋体" w:hAnsi="宋体"/>
          <w:color w:val="auto"/>
          <w:sz w:val="24"/>
          <w:highlight w:val="yellow"/>
        </w:rPr>
        <w:t>页</w:t>
      </w:r>
      <w:r>
        <w:rPr>
          <w:rFonts w:hint="eastAsia" w:ascii="宋体" w:hAnsi="宋体"/>
          <w:color w:val="auto"/>
          <w:sz w:val="24"/>
        </w:rPr>
        <w:t>（不含封面），请投标人领取招标文件时自行核对，如发现缺、损等情况，自领取招标文件之日起二日内向宁德市恒福招标有限公司提出，否则，由此造成的一切后果由</w:t>
      </w:r>
      <w:r>
        <w:rPr>
          <w:rFonts w:hint="eastAsia" w:ascii="宋体" w:hAnsi="宋体" w:cs="宋体"/>
          <w:color w:val="auto"/>
          <w:sz w:val="24"/>
        </w:rPr>
        <w:t>投标人</w:t>
      </w:r>
      <w:r>
        <w:rPr>
          <w:rFonts w:hint="eastAsia" w:ascii="宋体" w:hAnsi="宋体"/>
          <w:color w:val="auto"/>
          <w:sz w:val="24"/>
        </w:rPr>
        <w:t>自负。</w:t>
      </w:r>
    </w:p>
    <w:p>
      <w:pPr>
        <w:spacing w:line="360" w:lineRule="auto"/>
        <w:ind w:firstLine="480" w:firstLineChars="200"/>
        <w:rPr>
          <w:rFonts w:ascii="宋体" w:hAnsi="宋体"/>
          <w:color w:val="auto"/>
          <w:sz w:val="24"/>
        </w:rPr>
      </w:pPr>
    </w:p>
    <w:p>
      <w:pPr>
        <w:spacing w:line="360" w:lineRule="auto"/>
        <w:ind w:firstLine="480" w:firstLineChars="200"/>
        <w:rPr>
          <w:rFonts w:ascii="宋体" w:hAnsi="宋体"/>
          <w:color w:val="auto"/>
          <w:sz w:val="24"/>
        </w:rPr>
      </w:pPr>
    </w:p>
    <w:p>
      <w:pPr>
        <w:pStyle w:val="140"/>
        <w:numPr>
          <w:ilvl w:val="0"/>
          <w:numId w:val="4"/>
        </w:numPr>
        <w:spacing w:line="360" w:lineRule="auto"/>
        <w:jc w:val="center"/>
        <w:outlineLvl w:val="0"/>
        <w:rPr>
          <w:rFonts w:hAnsi="宋体"/>
          <w:b/>
          <w:color w:val="auto"/>
          <w:sz w:val="36"/>
          <w:szCs w:val="36"/>
        </w:rPr>
      </w:pPr>
      <w:bookmarkStart w:id="0" w:name="_Toc277779946"/>
      <w:bookmarkStart w:id="1" w:name="_Toc352224144"/>
      <w:r>
        <w:rPr>
          <w:rFonts w:hint="eastAsia" w:hAnsi="宋体"/>
          <w:b/>
          <w:color w:val="auto"/>
          <w:sz w:val="36"/>
          <w:szCs w:val="36"/>
        </w:rPr>
        <w:t>投标邀请</w:t>
      </w:r>
      <w:bookmarkEnd w:id="0"/>
      <w:bookmarkEnd w:id="1"/>
    </w:p>
    <w:p>
      <w:pPr>
        <w:pStyle w:val="140"/>
        <w:spacing w:line="360" w:lineRule="auto"/>
        <w:ind w:left="180"/>
        <w:jc w:val="center"/>
        <w:outlineLvl w:val="0"/>
        <w:rPr>
          <w:rFonts w:hAnsi="宋体"/>
          <w:b/>
          <w:color w:val="auto"/>
          <w:sz w:val="30"/>
          <w:szCs w:val="30"/>
        </w:rPr>
      </w:pPr>
      <w:bookmarkStart w:id="2" w:name="_Toc352224145"/>
      <w:bookmarkStart w:id="3" w:name="_Toc277779947"/>
      <w:r>
        <w:rPr>
          <w:rFonts w:hint="eastAsia" w:hAnsi="宋体"/>
          <w:b/>
          <w:color w:val="auto"/>
          <w:sz w:val="30"/>
          <w:szCs w:val="30"/>
        </w:rPr>
        <w:t>一、投标邀请函</w:t>
      </w:r>
      <w:bookmarkEnd w:id="2"/>
      <w:bookmarkEnd w:id="3"/>
    </w:p>
    <w:p>
      <w:pPr>
        <w:spacing w:line="440" w:lineRule="exact"/>
        <w:ind w:firstLine="360" w:firstLineChars="150"/>
        <w:rPr>
          <w:rFonts w:ascii="宋体" w:hAnsi="宋体"/>
          <w:color w:val="auto"/>
          <w:sz w:val="24"/>
          <w:szCs w:val="24"/>
        </w:rPr>
      </w:pPr>
      <w:r>
        <w:rPr>
          <w:rFonts w:hint="eastAsia" w:ascii="宋体" w:hAnsi="宋体"/>
          <w:color w:val="auto"/>
          <w:sz w:val="24"/>
          <w:szCs w:val="24"/>
        </w:rPr>
        <w:t>受</w:t>
      </w:r>
      <w:r>
        <w:rPr>
          <w:rFonts w:hint="eastAsia" w:ascii="宋体" w:hAnsi="宋体"/>
          <w:color w:val="auto"/>
          <w:sz w:val="24"/>
          <w:szCs w:val="24"/>
          <w:u w:val="single"/>
        </w:rPr>
        <w:t>福建省宁德市汽车运输集团有限公司</w:t>
      </w:r>
      <w:r>
        <w:rPr>
          <w:rFonts w:hint="eastAsia" w:ascii="宋体" w:hAnsi="宋体"/>
          <w:color w:val="auto"/>
          <w:sz w:val="24"/>
          <w:szCs w:val="24"/>
        </w:rPr>
        <w:t>委托，对</w:t>
      </w:r>
      <w:r>
        <w:rPr>
          <w:rFonts w:hint="eastAsia" w:ascii="宋体" w:hAnsi="宋体"/>
          <w:color w:val="auto"/>
          <w:sz w:val="24"/>
          <w:szCs w:val="24"/>
          <w:u w:val="single"/>
        </w:rPr>
        <w:t>福建省宁德市汽车运输集团有限公司保险采购项目</w:t>
      </w:r>
      <w:r>
        <w:rPr>
          <w:rFonts w:hint="eastAsia" w:ascii="宋体" w:hAnsi="宋体"/>
          <w:color w:val="auto"/>
          <w:sz w:val="24"/>
          <w:szCs w:val="24"/>
        </w:rPr>
        <w:t>的下述货物、服务进行公开招标，现欢迎国内合格的</w:t>
      </w:r>
      <w:r>
        <w:rPr>
          <w:rFonts w:hint="eastAsia" w:ascii="宋体" w:hAnsi="宋体" w:cs="宋体"/>
          <w:color w:val="auto"/>
          <w:sz w:val="24"/>
          <w:szCs w:val="24"/>
        </w:rPr>
        <w:t>投标人</w:t>
      </w:r>
      <w:r>
        <w:rPr>
          <w:rFonts w:hint="eastAsia" w:ascii="宋体" w:hAnsi="宋体"/>
          <w:color w:val="auto"/>
          <w:sz w:val="24"/>
          <w:szCs w:val="24"/>
        </w:rPr>
        <w:t>前来提交密封的投标文件。</w:t>
      </w:r>
    </w:p>
    <w:p>
      <w:pPr>
        <w:spacing w:line="440" w:lineRule="exact"/>
        <w:ind w:firstLine="360" w:firstLineChars="150"/>
        <w:rPr>
          <w:rFonts w:ascii="宋体" w:hAnsi="宋体"/>
          <w:color w:val="auto"/>
          <w:sz w:val="24"/>
          <w:u w:val="single"/>
        </w:rPr>
      </w:pPr>
      <w:r>
        <w:rPr>
          <w:rFonts w:hint="eastAsia" w:ascii="宋体" w:hAnsi="宋体"/>
          <w:color w:val="auto"/>
          <w:sz w:val="24"/>
        </w:rPr>
        <w:t>1、项目编号：</w:t>
      </w:r>
      <w:r>
        <w:rPr>
          <w:rFonts w:hint="eastAsia" w:ascii="宋体" w:hAnsi="宋体"/>
          <w:color w:val="auto"/>
          <w:sz w:val="24"/>
          <w:szCs w:val="24"/>
          <w:u w:val="single"/>
        </w:rPr>
        <w:t>NDHFZB-1220230329</w:t>
      </w:r>
    </w:p>
    <w:p>
      <w:pPr>
        <w:spacing w:line="440" w:lineRule="exact"/>
        <w:ind w:firstLine="360" w:firstLineChars="150"/>
        <w:rPr>
          <w:rFonts w:ascii="宋体" w:hAnsi="宋体"/>
          <w:color w:val="auto"/>
          <w:spacing w:val="-14"/>
          <w:sz w:val="24"/>
        </w:rPr>
      </w:pPr>
      <w:r>
        <w:rPr>
          <w:rFonts w:hint="eastAsia" w:ascii="宋体" w:hAnsi="宋体"/>
          <w:color w:val="auto"/>
          <w:sz w:val="24"/>
        </w:rPr>
        <w:t>2、招标货物(服务)名称、数量及主要技术规格：见后附：招标货物(服务)一览表</w:t>
      </w:r>
    </w:p>
    <w:p>
      <w:pPr>
        <w:spacing w:line="440" w:lineRule="exact"/>
        <w:ind w:left="716" w:leftChars="171" w:hanging="357" w:hangingChars="149"/>
        <w:rPr>
          <w:rFonts w:ascii="宋体" w:hAnsi="宋体"/>
          <w:color w:val="auto"/>
          <w:sz w:val="24"/>
        </w:rPr>
      </w:pPr>
      <w:r>
        <w:rPr>
          <w:rFonts w:hint="eastAsia" w:ascii="宋体" w:hAnsi="宋体"/>
          <w:color w:val="auto"/>
          <w:sz w:val="24"/>
        </w:rPr>
        <w:t>3、招标文件购买</w:t>
      </w:r>
      <w:r>
        <w:rPr>
          <w:rFonts w:hint="eastAsia" w:ascii="宋体" w:hAnsi="宋体"/>
          <w:b/>
          <w:color w:val="auto"/>
          <w:sz w:val="24"/>
          <w:szCs w:val="24"/>
          <w:shd w:val="pct10" w:color="auto" w:fill="FFFFFF"/>
        </w:rPr>
        <w:t>(办理报名手续)</w:t>
      </w:r>
      <w:r>
        <w:rPr>
          <w:rFonts w:hint="eastAsia" w:ascii="宋体" w:hAnsi="宋体"/>
          <w:color w:val="auto"/>
          <w:sz w:val="24"/>
        </w:rPr>
        <w:t>时间：</w:t>
      </w:r>
      <w:r>
        <w:rPr>
          <w:rFonts w:hint="eastAsia" w:ascii="宋体" w:hAnsi="宋体"/>
          <w:color w:val="auto"/>
          <w:sz w:val="24"/>
          <w:u w:val="single"/>
        </w:rPr>
        <w:t>2023</w:t>
      </w:r>
      <w:r>
        <w:rPr>
          <w:rFonts w:ascii="宋体" w:hAnsi="宋体"/>
          <w:color w:val="auto"/>
          <w:sz w:val="24"/>
          <w:u w:val="single"/>
        </w:rPr>
        <w:t>年</w:t>
      </w:r>
      <w:r>
        <w:rPr>
          <w:rFonts w:hint="eastAsia" w:ascii="宋体" w:hAnsi="宋体"/>
          <w:color w:val="auto"/>
          <w:sz w:val="24"/>
          <w:u w:val="single"/>
        </w:rPr>
        <w:t xml:space="preserve">  月  </w:t>
      </w:r>
      <w:r>
        <w:rPr>
          <w:rFonts w:ascii="宋体" w:hAnsi="宋体"/>
          <w:color w:val="auto"/>
          <w:sz w:val="24"/>
          <w:u w:val="single"/>
        </w:rPr>
        <w:t>日起</w:t>
      </w:r>
      <w:r>
        <w:rPr>
          <w:rFonts w:hint="eastAsia" w:ascii="宋体" w:hAnsi="宋体"/>
          <w:color w:val="auto"/>
          <w:sz w:val="24"/>
          <w:u w:val="single"/>
        </w:rPr>
        <w:t>至2023年  月  日止</w:t>
      </w:r>
      <w:r>
        <w:rPr>
          <w:rFonts w:ascii="宋体" w:hAnsi="宋体"/>
          <w:color w:val="auto"/>
          <w:sz w:val="24"/>
        </w:rPr>
        <w:t>，</w:t>
      </w:r>
      <w:r>
        <w:rPr>
          <w:rFonts w:hint="eastAsia" w:ascii="宋体" w:hAnsi="宋体"/>
          <w:color w:val="auto"/>
          <w:sz w:val="24"/>
        </w:rPr>
        <w:t>北京时间上午8:0</w:t>
      </w:r>
      <w:r>
        <w:rPr>
          <w:rFonts w:ascii="宋体" w:hAnsi="宋体"/>
          <w:color w:val="auto"/>
          <w:sz w:val="24"/>
        </w:rPr>
        <w:t>0至</w:t>
      </w:r>
      <w:r>
        <w:rPr>
          <w:rFonts w:hint="eastAsia" w:ascii="宋体" w:hAnsi="宋体"/>
          <w:color w:val="auto"/>
          <w:sz w:val="24"/>
        </w:rPr>
        <w:t>12:00，下午14:30-17：3</w:t>
      </w:r>
      <w:r>
        <w:rPr>
          <w:rFonts w:ascii="宋体" w:hAnsi="宋体"/>
          <w:color w:val="auto"/>
          <w:sz w:val="24"/>
        </w:rPr>
        <w:t>0时</w:t>
      </w:r>
      <w:r>
        <w:rPr>
          <w:rFonts w:hint="eastAsia" w:ascii="宋体" w:hAnsi="宋体"/>
          <w:color w:val="auto"/>
          <w:sz w:val="24"/>
        </w:rPr>
        <w:t>（节假日除外）</w:t>
      </w:r>
      <w:r>
        <w:rPr>
          <w:rFonts w:ascii="宋体" w:hAnsi="宋体"/>
          <w:color w:val="auto"/>
          <w:sz w:val="24"/>
        </w:rPr>
        <w:t>。</w:t>
      </w:r>
    </w:p>
    <w:p>
      <w:pPr>
        <w:pStyle w:val="20"/>
        <w:spacing w:line="440" w:lineRule="exact"/>
        <w:ind w:firstLine="360" w:firstLineChars="150"/>
        <w:jc w:val="left"/>
        <w:rPr>
          <w:rFonts w:hAnsi="宋体"/>
          <w:color w:val="auto"/>
          <w:sz w:val="24"/>
        </w:rPr>
      </w:pPr>
      <w:r>
        <w:rPr>
          <w:rFonts w:hint="eastAsia" w:hAnsi="宋体"/>
          <w:color w:val="auto"/>
          <w:sz w:val="24"/>
        </w:rPr>
        <w:t>4、</w:t>
      </w:r>
      <w:r>
        <w:rPr>
          <w:rFonts w:hAnsi="宋体"/>
          <w:color w:val="auto"/>
          <w:sz w:val="24"/>
        </w:rPr>
        <w:t>购买</w:t>
      </w:r>
      <w:r>
        <w:rPr>
          <w:rFonts w:hint="eastAsia" w:hAnsi="宋体"/>
          <w:color w:val="auto"/>
          <w:sz w:val="24"/>
        </w:rPr>
        <w:t>招标文件</w:t>
      </w:r>
      <w:r>
        <w:rPr>
          <w:rFonts w:hAnsi="宋体"/>
          <w:color w:val="auto"/>
          <w:sz w:val="24"/>
        </w:rPr>
        <w:t>地点</w:t>
      </w:r>
      <w:r>
        <w:rPr>
          <w:rFonts w:hint="eastAsia" w:hAnsi="宋体"/>
          <w:color w:val="auto"/>
          <w:sz w:val="24"/>
        </w:rPr>
        <w:t>：宁德市东侨经济开发区东湖御景10号楼803室。</w:t>
      </w:r>
    </w:p>
    <w:p>
      <w:pPr>
        <w:pStyle w:val="20"/>
        <w:spacing w:line="440" w:lineRule="exact"/>
        <w:ind w:left="716" w:leftChars="171" w:hanging="357" w:hangingChars="149"/>
        <w:jc w:val="left"/>
        <w:rPr>
          <w:rFonts w:hAnsi="宋体"/>
          <w:color w:val="auto"/>
          <w:sz w:val="24"/>
        </w:rPr>
      </w:pPr>
      <w:r>
        <w:rPr>
          <w:rFonts w:hint="eastAsia" w:hAnsi="宋体"/>
          <w:color w:val="auto"/>
          <w:sz w:val="24"/>
        </w:rPr>
        <w:t>5、</w:t>
      </w:r>
      <w:r>
        <w:rPr>
          <w:rFonts w:hAnsi="宋体"/>
          <w:color w:val="auto"/>
          <w:sz w:val="24"/>
        </w:rPr>
        <w:t>纸质招标文件</w:t>
      </w:r>
      <w:r>
        <w:rPr>
          <w:rFonts w:hint="eastAsia" w:hAnsi="宋体"/>
          <w:color w:val="auto"/>
          <w:sz w:val="24"/>
        </w:rPr>
        <w:t>或</w:t>
      </w:r>
      <w:r>
        <w:rPr>
          <w:rFonts w:hAnsi="宋体"/>
          <w:color w:val="auto"/>
          <w:sz w:val="24"/>
        </w:rPr>
        <w:t>电子版招标文件售价</w:t>
      </w:r>
      <w:r>
        <w:rPr>
          <w:rFonts w:hint="eastAsia" w:hAnsi="宋体"/>
          <w:color w:val="auto"/>
          <w:sz w:val="24"/>
        </w:rPr>
        <w:t>300</w:t>
      </w:r>
      <w:r>
        <w:rPr>
          <w:rFonts w:hAnsi="宋体"/>
          <w:color w:val="auto"/>
          <w:sz w:val="24"/>
        </w:rPr>
        <w:t>元人民币，售后不退，如需邮寄，另加50元人民币特快专递费；本招标代理公司不对邮寄过程中的遗失负责。</w:t>
      </w:r>
    </w:p>
    <w:p>
      <w:pPr>
        <w:pStyle w:val="20"/>
        <w:spacing w:line="440" w:lineRule="exact"/>
        <w:ind w:firstLine="472" w:firstLineChars="196"/>
        <w:jc w:val="left"/>
        <w:rPr>
          <w:rFonts w:hAnsi="宋体"/>
          <w:color w:val="auto"/>
          <w:sz w:val="24"/>
          <w:szCs w:val="24"/>
        </w:rPr>
      </w:pPr>
      <w:r>
        <w:rPr>
          <w:rFonts w:hint="eastAsia" w:hAnsi="宋体"/>
          <w:b/>
          <w:color w:val="auto"/>
          <w:sz w:val="24"/>
          <w:szCs w:val="24"/>
          <w:shd w:val="pct10" w:color="auto" w:fill="FFFFFF"/>
        </w:rPr>
        <w:t>6、参加本项目投标的供应商办理报名手续，可任意选择以下（1）或（2）方式的要求进行办理。</w:t>
      </w:r>
    </w:p>
    <w:p>
      <w:pPr>
        <w:pStyle w:val="20"/>
        <w:spacing w:line="440" w:lineRule="exact"/>
        <w:ind w:firstLine="236" w:firstLineChars="98"/>
        <w:jc w:val="left"/>
        <w:rPr>
          <w:rFonts w:hAnsi="宋体"/>
          <w:b/>
          <w:color w:val="auto"/>
          <w:sz w:val="24"/>
          <w:szCs w:val="24"/>
          <w:shd w:val="pct10" w:color="auto" w:fill="FFFFFF"/>
        </w:rPr>
      </w:pPr>
      <w:r>
        <w:rPr>
          <w:rFonts w:hint="eastAsia" w:hAnsi="宋体"/>
          <w:b/>
          <w:color w:val="auto"/>
          <w:sz w:val="24"/>
          <w:szCs w:val="24"/>
          <w:shd w:val="pct10" w:color="auto" w:fill="FFFFFF"/>
        </w:rPr>
        <w:t>（1）直接至我司办理的，须至我司填写招标文件购买登记表；</w:t>
      </w:r>
    </w:p>
    <w:p>
      <w:pPr>
        <w:pStyle w:val="20"/>
        <w:spacing w:line="440" w:lineRule="exact"/>
        <w:ind w:firstLine="234" w:firstLineChars="97"/>
        <w:jc w:val="left"/>
        <w:rPr>
          <w:rFonts w:hAnsi="宋体"/>
          <w:b/>
          <w:color w:val="auto"/>
          <w:sz w:val="24"/>
          <w:szCs w:val="24"/>
          <w:shd w:val="pct10" w:color="auto" w:fill="FFFFFF"/>
        </w:rPr>
      </w:pPr>
      <w:r>
        <w:rPr>
          <w:rFonts w:hint="eastAsia" w:hAnsi="宋体"/>
          <w:b/>
          <w:color w:val="auto"/>
          <w:sz w:val="24"/>
          <w:szCs w:val="24"/>
          <w:shd w:val="pct10" w:color="auto" w:fill="FFFFFF"/>
        </w:rPr>
        <w:t>（2）异地投标人购买招标文件者须按公告提供的开户名、开户行、账号，电汇或转账相应的金额到本公司账户，同时将电汇或转账底单复印件加盖公章后于报名截止时间前扫描发邮件至我公司，扫描发邮件后致电我司办理相关报名登记手续。未办理报名手续的不予以书面变更通知及不受理投标。</w:t>
      </w:r>
    </w:p>
    <w:p>
      <w:pPr>
        <w:spacing w:line="440" w:lineRule="exact"/>
        <w:ind w:left="716" w:leftChars="171" w:hanging="357" w:hangingChars="149"/>
        <w:rPr>
          <w:rFonts w:ascii="宋体" w:hAnsi="宋体"/>
          <w:color w:val="auto"/>
          <w:sz w:val="24"/>
          <w:szCs w:val="24"/>
        </w:rPr>
      </w:pPr>
      <w:r>
        <w:rPr>
          <w:rFonts w:hint="eastAsia" w:ascii="宋体" w:hAnsi="宋体"/>
          <w:color w:val="auto"/>
          <w:sz w:val="24"/>
        </w:rPr>
        <w:t>7、投标截止时间：投标文件应于</w:t>
      </w:r>
      <w:r>
        <w:rPr>
          <w:rFonts w:hint="eastAsia" w:ascii="宋体" w:hAnsi="宋体"/>
          <w:color w:val="auto"/>
          <w:sz w:val="24"/>
          <w:u w:val="single"/>
        </w:rPr>
        <w:t>2023年   月   日上午09：00（北京时间）</w:t>
      </w:r>
      <w:r>
        <w:rPr>
          <w:rFonts w:hint="eastAsia" w:ascii="宋体" w:hAnsi="宋体"/>
          <w:color w:val="auto"/>
          <w:szCs w:val="21"/>
        </w:rPr>
        <w:t>。</w:t>
      </w:r>
      <w:r>
        <w:rPr>
          <w:rFonts w:hint="eastAsia" w:ascii="宋体" w:hAnsi="宋体"/>
          <w:color w:val="auto"/>
          <w:sz w:val="24"/>
        </w:rPr>
        <w:t>前按下</w:t>
      </w:r>
      <w:r>
        <w:rPr>
          <w:rFonts w:hint="eastAsia" w:ascii="宋体" w:hAnsi="宋体"/>
          <w:color w:val="auto"/>
          <w:sz w:val="24"/>
          <w:szCs w:val="24"/>
        </w:rPr>
        <w:t>述地址以书面形式送至宁德市东侨经济开发区东湖御景10号楼803室，由宁德市恒福招标有限公司接收，逾期收到的或不符合规定的投标文件将被拒绝。</w:t>
      </w:r>
    </w:p>
    <w:p>
      <w:pPr>
        <w:spacing w:line="440" w:lineRule="exact"/>
        <w:ind w:left="716" w:leftChars="171" w:hanging="357" w:hangingChars="149"/>
        <w:rPr>
          <w:rFonts w:ascii="宋体" w:hAnsi="宋体"/>
          <w:color w:val="auto"/>
          <w:sz w:val="24"/>
          <w:szCs w:val="24"/>
        </w:rPr>
      </w:pPr>
      <w:r>
        <w:rPr>
          <w:rFonts w:hint="eastAsia" w:ascii="宋体" w:hAnsi="宋体"/>
          <w:color w:val="auto"/>
          <w:sz w:val="24"/>
          <w:szCs w:val="24"/>
        </w:rPr>
        <w:t>8、开标时间、地点：</w:t>
      </w:r>
      <w:r>
        <w:rPr>
          <w:rFonts w:hint="eastAsia" w:ascii="宋体" w:hAnsi="宋体"/>
          <w:color w:val="auto"/>
          <w:sz w:val="24"/>
          <w:u w:val="single"/>
        </w:rPr>
        <w:t>2023年   月   日上午09：00</w:t>
      </w:r>
      <w:r>
        <w:rPr>
          <w:rFonts w:hint="eastAsia" w:ascii="宋体" w:hAnsi="宋体"/>
          <w:color w:val="auto"/>
          <w:sz w:val="24"/>
          <w:szCs w:val="24"/>
          <w:u w:val="single"/>
        </w:rPr>
        <w:t>(北京时间)</w:t>
      </w:r>
      <w:r>
        <w:rPr>
          <w:rFonts w:hint="eastAsia" w:ascii="宋体" w:hAnsi="宋体"/>
          <w:color w:val="auto"/>
          <w:sz w:val="24"/>
          <w:szCs w:val="24"/>
        </w:rPr>
        <w:t>, 宁德市东侨经济开发区东湖御景10号楼803室。</w:t>
      </w:r>
    </w:p>
    <w:p>
      <w:pPr>
        <w:pStyle w:val="32"/>
        <w:spacing w:before="0" w:beforeAutospacing="0" w:after="0" w:afterAutospacing="0" w:line="420" w:lineRule="exact"/>
        <w:ind w:firstLine="480" w:firstLineChars="200"/>
        <w:rPr>
          <w:rFonts w:cs="宋体"/>
          <w:color w:val="auto"/>
          <w:kern w:val="1"/>
          <w:szCs w:val="21"/>
        </w:rPr>
      </w:pPr>
      <w:r>
        <w:rPr>
          <w:rFonts w:hint="eastAsia" w:cs="宋体"/>
          <w:color w:val="auto"/>
          <w:kern w:val="1"/>
          <w:szCs w:val="21"/>
        </w:rPr>
        <w:t>9、</w:t>
      </w:r>
      <w:r>
        <w:rPr>
          <w:rFonts w:cs="宋体"/>
          <w:color w:val="auto"/>
          <w:kern w:val="1"/>
          <w:szCs w:val="21"/>
        </w:rPr>
        <w:t>询问规定：根据《中华人民共和国政府采购法实施条例》第五十二条规定，采购人或者采购代理机构应当在3个工作日内对供应商依法提出的询问作出答复。供应商提出的询问或者质疑超出采购人对采购代理机构委托授权范围的，采购代理机构应当告知供应商向采购人提出。</w:t>
      </w:r>
    </w:p>
    <w:p>
      <w:pPr>
        <w:pStyle w:val="32"/>
        <w:spacing w:before="0" w:beforeAutospacing="0" w:after="0" w:afterAutospacing="0" w:line="420" w:lineRule="exact"/>
        <w:ind w:firstLine="480" w:firstLineChars="200"/>
        <w:rPr>
          <w:rFonts w:cs="宋体"/>
          <w:color w:val="auto"/>
          <w:kern w:val="1"/>
          <w:szCs w:val="21"/>
        </w:rPr>
      </w:pPr>
      <w:r>
        <w:rPr>
          <w:rFonts w:hint="eastAsia" w:cs="宋体"/>
          <w:color w:val="auto"/>
          <w:kern w:val="1"/>
        </w:rPr>
        <w:t>10、投标人</w:t>
      </w:r>
      <w:r>
        <w:rPr>
          <w:rFonts w:cs="宋体"/>
          <w:color w:val="auto"/>
          <w:kern w:val="1"/>
        </w:rPr>
        <w:t>对本次招标活动事项提出质疑的时限及提交的书面质疑材料按照招标文件第二章</w:t>
      </w:r>
      <w:r>
        <w:rPr>
          <w:rFonts w:hint="eastAsia" w:cs="宋体"/>
          <w:color w:val="auto"/>
          <w:kern w:val="1"/>
        </w:rPr>
        <w:t>投标人</w:t>
      </w:r>
      <w:r>
        <w:rPr>
          <w:rFonts w:cs="宋体"/>
          <w:color w:val="auto"/>
          <w:kern w:val="1"/>
        </w:rPr>
        <w:t>须知第23条要求执行</w:t>
      </w:r>
      <w:r>
        <w:rPr>
          <w:rFonts w:cs="宋体"/>
          <w:color w:val="auto"/>
          <w:kern w:val="1"/>
          <w:szCs w:val="21"/>
        </w:rPr>
        <w:t>。</w:t>
      </w:r>
    </w:p>
    <w:p>
      <w:pPr>
        <w:spacing w:line="460" w:lineRule="exact"/>
        <w:ind w:left="837" w:leftChars="249" w:hanging="314" w:hangingChars="131"/>
        <w:rPr>
          <w:rFonts w:ascii="宋体" w:hAnsi="宋体" w:cs="宋体"/>
          <w:color w:val="auto"/>
          <w:kern w:val="1"/>
          <w:sz w:val="24"/>
          <w:szCs w:val="24"/>
        </w:rPr>
      </w:pPr>
      <w:r>
        <w:rPr>
          <w:rFonts w:hint="eastAsia" w:ascii="宋体" w:hAnsi="宋体" w:cs="宋体"/>
          <w:color w:val="auto"/>
          <w:kern w:val="1"/>
          <w:sz w:val="24"/>
        </w:rPr>
        <w:t>11、</w:t>
      </w:r>
      <w:r>
        <w:rPr>
          <w:rFonts w:ascii="宋体" w:hAnsi="宋体" w:cs="宋体"/>
          <w:color w:val="auto"/>
          <w:kern w:val="1"/>
          <w:sz w:val="24"/>
          <w:szCs w:val="24"/>
        </w:rPr>
        <w:t>有关本项目招标的相关信息(包括招标文件若有修改补充)，</w:t>
      </w:r>
      <w:r>
        <w:rPr>
          <w:rFonts w:hint="eastAsia" w:ascii="宋体" w:hAnsi="宋体" w:cs="宋体"/>
          <w:color w:val="auto"/>
          <w:kern w:val="1"/>
          <w:sz w:val="24"/>
        </w:rPr>
        <w:t>宁德市恒福招标有限公司</w:t>
      </w:r>
      <w:r>
        <w:rPr>
          <w:rFonts w:ascii="宋体" w:hAnsi="宋体" w:cs="宋体"/>
          <w:color w:val="auto"/>
          <w:kern w:val="1"/>
          <w:sz w:val="24"/>
          <w:szCs w:val="24"/>
        </w:rPr>
        <w:t>将通过以下媒介发布通知，请潜在</w:t>
      </w:r>
      <w:r>
        <w:rPr>
          <w:rFonts w:hint="eastAsia" w:ascii="宋体" w:hAnsi="宋体" w:cs="宋体"/>
          <w:color w:val="auto"/>
          <w:kern w:val="1"/>
          <w:sz w:val="24"/>
          <w:szCs w:val="24"/>
        </w:rPr>
        <w:t>投标人</w:t>
      </w:r>
      <w:r>
        <w:rPr>
          <w:rFonts w:ascii="宋体" w:hAnsi="宋体" w:cs="宋体"/>
          <w:color w:val="auto"/>
          <w:kern w:val="1"/>
          <w:sz w:val="24"/>
          <w:szCs w:val="24"/>
        </w:rPr>
        <w:t>随时关注相关网站，以免错漏重要信息。</w:t>
      </w:r>
    </w:p>
    <w:p>
      <w:pPr>
        <w:spacing w:line="360" w:lineRule="auto"/>
        <w:ind w:firstLine="888" w:firstLineChars="370"/>
        <w:rPr>
          <w:rFonts w:ascii="宋体" w:cs="宋体"/>
          <w:color w:val="auto"/>
          <w:sz w:val="24"/>
          <w:szCs w:val="24"/>
        </w:rPr>
      </w:pPr>
      <w:r>
        <w:rPr>
          <w:rFonts w:hint="eastAsia" w:ascii="宋体" w:cs="宋体"/>
          <w:color w:val="auto"/>
          <w:sz w:val="24"/>
        </w:rPr>
        <w:t>（1）</w:t>
      </w:r>
      <w:r>
        <w:rPr>
          <w:rFonts w:hint="eastAsia" w:ascii="宋体" w:cs="宋体"/>
          <w:color w:val="auto"/>
          <w:sz w:val="24"/>
          <w:szCs w:val="24"/>
        </w:rPr>
        <w:t>、中国政府采购网(</w:t>
      </w:r>
      <w:r>
        <w:rPr>
          <w:color w:val="auto"/>
        </w:rPr>
        <w:fldChar w:fldCharType="begin"/>
      </w:r>
      <w:r>
        <w:rPr>
          <w:color w:val="auto"/>
        </w:rPr>
        <w:instrText xml:space="preserve"> HYPERLINK "http://www.ccgp.gov.cn/" </w:instrText>
      </w:r>
      <w:r>
        <w:rPr>
          <w:color w:val="auto"/>
        </w:rPr>
        <w:fldChar w:fldCharType="separate"/>
      </w:r>
      <w:r>
        <w:rPr>
          <w:rFonts w:hint="eastAsia" w:ascii="宋体" w:cs="宋体"/>
          <w:color w:val="auto"/>
          <w:sz w:val="24"/>
        </w:rPr>
        <w:t>http://www.ccgp.gov.cn/</w:t>
      </w:r>
      <w:r>
        <w:rPr>
          <w:rFonts w:hint="eastAsia" w:ascii="宋体" w:cs="宋体"/>
          <w:color w:val="auto"/>
          <w:sz w:val="24"/>
        </w:rPr>
        <w:fldChar w:fldCharType="end"/>
      </w:r>
      <w:r>
        <w:rPr>
          <w:rFonts w:hint="eastAsia" w:ascii="宋体" w:cs="宋体"/>
          <w:color w:val="auto"/>
          <w:sz w:val="24"/>
          <w:szCs w:val="24"/>
        </w:rPr>
        <w:t>)</w:t>
      </w:r>
    </w:p>
    <w:p>
      <w:pPr>
        <w:pStyle w:val="32"/>
        <w:spacing w:before="0" w:beforeAutospacing="0" w:after="0" w:afterAutospacing="0" w:line="360" w:lineRule="auto"/>
        <w:ind w:left="838" w:leftChars="399" w:firstLine="120" w:firstLineChars="50"/>
        <w:rPr>
          <w:rFonts w:cs="宋体"/>
          <w:color w:val="auto"/>
          <w:kern w:val="1"/>
          <w:szCs w:val="24"/>
        </w:rPr>
      </w:pPr>
      <w:r>
        <w:rPr>
          <w:rFonts w:hint="eastAsia" w:cs="宋体"/>
          <w:color w:val="auto"/>
          <w:kern w:val="1"/>
          <w:szCs w:val="24"/>
        </w:rPr>
        <w:t>（2）、宁德市有信产权交易服务有限公司(</w:t>
      </w:r>
      <w:r>
        <w:rPr>
          <w:color w:val="auto"/>
        </w:rPr>
        <w:fldChar w:fldCharType="begin"/>
      </w:r>
      <w:r>
        <w:rPr>
          <w:color w:val="auto"/>
        </w:rPr>
        <w:instrText xml:space="preserve"> HYPERLINK "http://www.ndcqjy.com/cn/cggglist/79" </w:instrText>
      </w:r>
      <w:r>
        <w:rPr>
          <w:color w:val="auto"/>
        </w:rPr>
        <w:fldChar w:fldCharType="separate"/>
      </w:r>
      <w:r>
        <w:rPr>
          <w:rFonts w:hint="eastAsia" w:cs="宋体"/>
          <w:color w:val="auto"/>
          <w:kern w:val="1"/>
          <w:szCs w:val="24"/>
        </w:rPr>
        <w:t>http://www.ndcqjy.com/cn/cggglist/79</w:t>
      </w:r>
      <w:r>
        <w:rPr>
          <w:rFonts w:hint="eastAsia" w:cs="宋体"/>
          <w:color w:val="auto"/>
          <w:kern w:val="1"/>
          <w:szCs w:val="24"/>
        </w:rPr>
        <w:fldChar w:fldCharType="end"/>
      </w:r>
      <w:r>
        <w:rPr>
          <w:rFonts w:hint="eastAsia" w:cs="宋体"/>
          <w:color w:val="auto"/>
          <w:kern w:val="1"/>
          <w:szCs w:val="24"/>
        </w:rPr>
        <w:t>)</w:t>
      </w:r>
    </w:p>
    <w:p>
      <w:pPr>
        <w:spacing w:line="480" w:lineRule="auto"/>
        <w:ind w:left="480"/>
        <w:rPr>
          <w:rFonts w:ascii="宋体" w:hAnsi="宋体"/>
          <w:color w:val="auto"/>
          <w:sz w:val="24"/>
        </w:rPr>
      </w:pPr>
      <w:r>
        <w:rPr>
          <w:rFonts w:hint="eastAsia" w:ascii="宋体" w:hAnsi="宋体"/>
          <w:color w:val="auto"/>
          <w:sz w:val="24"/>
        </w:rPr>
        <w:t xml:space="preserve">招标代理机构：宁德市恒福招标有限公司 </w:t>
      </w:r>
    </w:p>
    <w:p>
      <w:pPr>
        <w:spacing w:line="480" w:lineRule="auto"/>
        <w:ind w:firstLine="480"/>
        <w:rPr>
          <w:rFonts w:ascii="宋体" w:hAnsi="宋体"/>
          <w:color w:val="auto"/>
          <w:sz w:val="24"/>
        </w:rPr>
      </w:pPr>
      <w:r>
        <w:rPr>
          <w:rFonts w:hint="eastAsia" w:ascii="宋体" w:hAnsi="宋体"/>
          <w:color w:val="auto"/>
          <w:sz w:val="24"/>
        </w:rPr>
        <w:t>地  址：宁德市东侨经济开发区东湖御景10号楼803室</w:t>
      </w:r>
    </w:p>
    <w:p>
      <w:pPr>
        <w:tabs>
          <w:tab w:val="left" w:pos="2775"/>
        </w:tabs>
        <w:spacing w:line="480" w:lineRule="auto"/>
        <w:rPr>
          <w:rFonts w:ascii="宋体" w:hAnsi="宋体"/>
          <w:color w:val="auto"/>
          <w:sz w:val="24"/>
        </w:rPr>
      </w:pPr>
      <w:r>
        <w:rPr>
          <w:rFonts w:hint="eastAsia" w:ascii="宋体" w:hAnsi="宋体"/>
          <w:color w:val="auto"/>
          <w:sz w:val="24"/>
        </w:rPr>
        <w:t xml:space="preserve">    邮  编：352100   </w:t>
      </w:r>
      <w:r>
        <w:rPr>
          <w:rFonts w:hint="eastAsia" w:ascii="宋体" w:hAnsi="宋体"/>
          <w:color w:val="auto"/>
          <w:sz w:val="24"/>
        </w:rPr>
        <w:tab/>
      </w:r>
    </w:p>
    <w:p>
      <w:pPr>
        <w:spacing w:line="480" w:lineRule="auto"/>
        <w:ind w:firstLine="480" w:firstLineChars="200"/>
        <w:rPr>
          <w:rFonts w:ascii="宋体" w:hAnsi="宋体"/>
          <w:color w:val="auto"/>
          <w:sz w:val="24"/>
        </w:rPr>
      </w:pPr>
      <w:r>
        <w:rPr>
          <w:rFonts w:hint="eastAsia" w:ascii="宋体" w:hAnsi="宋体"/>
          <w:color w:val="auto"/>
          <w:sz w:val="24"/>
        </w:rPr>
        <w:t>购买招标文件联系人：0593-2822316</w:t>
      </w:r>
    </w:p>
    <w:p>
      <w:pPr>
        <w:pStyle w:val="20"/>
        <w:spacing w:line="480" w:lineRule="auto"/>
        <w:ind w:firstLine="480" w:firstLineChars="200"/>
        <w:jc w:val="left"/>
        <w:rPr>
          <w:color w:val="auto"/>
          <w:sz w:val="24"/>
          <w:szCs w:val="24"/>
        </w:rPr>
      </w:pPr>
      <w:r>
        <w:rPr>
          <w:rFonts w:hint="eastAsia"/>
          <w:color w:val="auto"/>
          <w:sz w:val="24"/>
          <w:szCs w:val="24"/>
        </w:rPr>
        <w:t xml:space="preserve">项目咨询联系人：18905934226  </w:t>
      </w:r>
    </w:p>
    <w:p>
      <w:pPr>
        <w:pStyle w:val="20"/>
        <w:spacing w:line="480" w:lineRule="auto"/>
        <w:ind w:firstLine="480" w:firstLineChars="200"/>
        <w:jc w:val="left"/>
        <w:rPr>
          <w:color w:val="auto"/>
          <w:sz w:val="24"/>
        </w:rPr>
      </w:pPr>
      <w:r>
        <w:rPr>
          <w:rFonts w:hint="eastAsia"/>
          <w:color w:val="auto"/>
          <w:sz w:val="24"/>
        </w:rPr>
        <w:t>电子信箱：</w:t>
      </w:r>
      <w:r>
        <w:rPr>
          <w:color w:val="auto"/>
        </w:rPr>
        <w:fldChar w:fldCharType="begin"/>
      </w:r>
      <w:r>
        <w:rPr>
          <w:color w:val="auto"/>
        </w:rPr>
        <w:instrText xml:space="preserve"> HYPERLINK "mailto:fjthzb@163.com" </w:instrText>
      </w:r>
      <w:r>
        <w:rPr>
          <w:color w:val="auto"/>
        </w:rPr>
        <w:fldChar w:fldCharType="separate"/>
      </w:r>
      <w:r>
        <w:rPr>
          <w:rStyle w:val="47"/>
          <w:rFonts w:hint="eastAsia"/>
          <w:color w:val="auto"/>
          <w:sz w:val="24"/>
        </w:rPr>
        <w:t>ndhfzb88@163.com</w:t>
      </w:r>
      <w:r>
        <w:rPr>
          <w:rStyle w:val="47"/>
          <w:rFonts w:hint="eastAsia"/>
          <w:color w:val="auto"/>
          <w:sz w:val="24"/>
        </w:rPr>
        <w:fldChar w:fldCharType="end"/>
      </w:r>
    </w:p>
    <w:p>
      <w:pPr>
        <w:spacing w:line="480" w:lineRule="auto"/>
        <w:ind w:firstLine="480" w:firstLineChars="200"/>
        <w:rPr>
          <w:rFonts w:ascii="宋体" w:hAnsi="宋体"/>
          <w:color w:val="auto"/>
          <w:sz w:val="24"/>
          <w:szCs w:val="22"/>
        </w:rPr>
      </w:pPr>
      <w:r>
        <w:rPr>
          <w:rFonts w:hint="eastAsia" w:ascii="宋体" w:hAnsi="宋体"/>
          <w:color w:val="auto"/>
          <w:sz w:val="24"/>
          <w:szCs w:val="22"/>
        </w:rPr>
        <w:t>开户名：宁德市恒福招标有限公司</w:t>
      </w:r>
    </w:p>
    <w:p>
      <w:pPr>
        <w:spacing w:line="480" w:lineRule="auto"/>
        <w:ind w:firstLine="480" w:firstLineChars="200"/>
        <w:rPr>
          <w:rFonts w:ascii="宋体" w:hAnsi="宋体"/>
          <w:color w:val="auto"/>
          <w:sz w:val="24"/>
          <w:szCs w:val="22"/>
        </w:rPr>
      </w:pPr>
      <w:r>
        <w:rPr>
          <w:rFonts w:hint="eastAsia" w:ascii="宋体" w:hAnsi="宋体"/>
          <w:color w:val="auto"/>
          <w:sz w:val="24"/>
          <w:szCs w:val="22"/>
        </w:rPr>
        <w:t>开户行：中国建设银行股份有限公司宁德市东侨支行</w:t>
      </w:r>
    </w:p>
    <w:p>
      <w:pPr>
        <w:pStyle w:val="20"/>
        <w:spacing w:line="480" w:lineRule="auto"/>
        <w:ind w:firstLine="480" w:firstLineChars="200"/>
        <w:jc w:val="left"/>
        <w:rPr>
          <w:rFonts w:hAnsi="宋体"/>
          <w:color w:val="auto"/>
          <w:sz w:val="24"/>
          <w:szCs w:val="22"/>
        </w:rPr>
      </w:pPr>
      <w:r>
        <w:rPr>
          <w:rFonts w:hint="eastAsia" w:hAnsi="宋体"/>
          <w:color w:val="auto"/>
          <w:sz w:val="24"/>
          <w:szCs w:val="22"/>
        </w:rPr>
        <w:t>账  号：35001686107052518311</w:t>
      </w:r>
    </w:p>
    <w:p>
      <w:pPr>
        <w:spacing w:line="360" w:lineRule="auto"/>
        <w:rPr>
          <w:rFonts w:ascii="宋体" w:hAnsi="宋体"/>
          <w:b/>
          <w:bCs/>
          <w:color w:val="auto"/>
          <w:sz w:val="24"/>
        </w:rPr>
      </w:pPr>
      <w:r>
        <w:rPr>
          <w:rFonts w:hint="eastAsia" w:ascii="宋体" w:hAnsi="宋体"/>
          <w:b/>
          <w:bCs/>
          <w:color w:val="auto"/>
          <w:sz w:val="24"/>
          <w:highlight w:val="yellow"/>
        </w:rPr>
        <w:t>备注：供应商电汇或转账投标保证金时一定在备注栏认真填写项目编号，否则无法辨别所投项目，所造成的后果由供应商自行负责。</w:t>
      </w:r>
    </w:p>
    <w:p>
      <w:pPr>
        <w:pStyle w:val="53"/>
        <w:rPr>
          <w:rFonts w:ascii="宋体" w:hAnsi="宋体" w:cs="宋体"/>
          <w:b/>
          <w:bCs/>
          <w:color w:val="auto"/>
          <w:sz w:val="24"/>
          <w:szCs w:val="22"/>
          <w:lang w:val="zh-CN"/>
        </w:rPr>
      </w:pPr>
    </w:p>
    <w:p>
      <w:pPr>
        <w:pStyle w:val="53"/>
        <w:rPr>
          <w:rFonts w:ascii="宋体" w:hAnsi="宋体" w:cs="宋体"/>
          <w:b/>
          <w:bCs/>
          <w:color w:val="auto"/>
          <w:sz w:val="24"/>
          <w:szCs w:val="22"/>
          <w:lang w:val="zh-CN"/>
        </w:rPr>
      </w:pPr>
    </w:p>
    <w:p>
      <w:pPr>
        <w:pStyle w:val="53"/>
        <w:rPr>
          <w:rFonts w:ascii="宋体" w:hAnsi="宋体" w:cs="宋体"/>
          <w:b/>
          <w:bCs/>
          <w:color w:val="auto"/>
          <w:sz w:val="24"/>
          <w:szCs w:val="22"/>
          <w:lang w:val="zh-CN"/>
        </w:rPr>
      </w:pPr>
    </w:p>
    <w:p>
      <w:pPr>
        <w:pStyle w:val="53"/>
        <w:rPr>
          <w:rFonts w:ascii="宋体" w:hAnsi="宋体" w:cs="宋体"/>
          <w:b/>
          <w:bCs/>
          <w:color w:val="auto"/>
          <w:sz w:val="24"/>
          <w:szCs w:val="22"/>
          <w:lang w:val="zh-CN"/>
        </w:rPr>
      </w:pPr>
    </w:p>
    <w:p>
      <w:pPr>
        <w:pStyle w:val="53"/>
        <w:rPr>
          <w:rFonts w:ascii="宋体" w:hAnsi="宋体" w:cs="宋体"/>
          <w:b/>
          <w:bCs/>
          <w:color w:val="auto"/>
          <w:sz w:val="24"/>
          <w:szCs w:val="22"/>
          <w:lang w:val="zh-CN"/>
        </w:rPr>
      </w:pPr>
    </w:p>
    <w:p>
      <w:pPr>
        <w:pStyle w:val="53"/>
        <w:rPr>
          <w:rFonts w:ascii="宋体" w:hAnsi="宋体" w:cs="宋体"/>
          <w:b/>
          <w:bCs/>
          <w:color w:val="auto"/>
          <w:sz w:val="24"/>
          <w:szCs w:val="22"/>
          <w:lang w:val="zh-CN"/>
        </w:rPr>
      </w:pPr>
    </w:p>
    <w:p>
      <w:pPr>
        <w:pStyle w:val="53"/>
        <w:rPr>
          <w:rFonts w:ascii="宋体" w:hAnsi="宋体" w:cs="宋体"/>
          <w:b/>
          <w:bCs/>
          <w:color w:val="auto"/>
          <w:sz w:val="24"/>
          <w:szCs w:val="22"/>
          <w:lang w:val="zh-CN"/>
        </w:rPr>
      </w:pPr>
    </w:p>
    <w:p>
      <w:pPr>
        <w:pStyle w:val="53"/>
        <w:ind w:firstLine="0"/>
        <w:rPr>
          <w:rFonts w:ascii="宋体" w:hAnsi="宋体" w:cs="宋体"/>
          <w:b/>
          <w:bCs/>
          <w:color w:val="auto"/>
          <w:sz w:val="24"/>
          <w:szCs w:val="22"/>
          <w:lang w:val="zh-CN"/>
        </w:rPr>
      </w:pPr>
    </w:p>
    <w:p>
      <w:pPr>
        <w:spacing w:line="360" w:lineRule="auto"/>
        <w:rPr>
          <w:rFonts w:ascii="宋体" w:hAnsi="宋体"/>
          <w:color w:val="auto"/>
          <w:sz w:val="24"/>
        </w:rPr>
      </w:pPr>
      <w:r>
        <w:rPr>
          <w:rFonts w:hint="eastAsia" w:ascii="宋体" w:hAnsi="宋体"/>
          <w:color w:val="auto"/>
          <w:sz w:val="24"/>
        </w:rPr>
        <w:t>附：招标货物(服务)一览表</w:t>
      </w:r>
    </w:p>
    <w:p>
      <w:pPr>
        <w:pStyle w:val="140"/>
        <w:spacing w:line="360" w:lineRule="auto"/>
        <w:ind w:left="180"/>
        <w:jc w:val="center"/>
        <w:outlineLvl w:val="0"/>
        <w:rPr>
          <w:rFonts w:hAnsi="宋体"/>
          <w:b/>
          <w:color w:val="auto"/>
          <w:sz w:val="30"/>
          <w:szCs w:val="30"/>
        </w:rPr>
      </w:pPr>
      <w:bookmarkStart w:id="4" w:name="_Toc352224146"/>
      <w:bookmarkStart w:id="5" w:name="_Toc277779948"/>
      <w:r>
        <w:rPr>
          <w:rFonts w:hint="eastAsia" w:hAnsi="宋体"/>
          <w:b/>
          <w:color w:val="auto"/>
          <w:sz w:val="30"/>
          <w:szCs w:val="30"/>
        </w:rPr>
        <w:t>二、招标货物（服务）一览表</w:t>
      </w:r>
      <w:bookmarkEnd w:id="4"/>
      <w:bookmarkEnd w:id="5"/>
    </w:p>
    <w:tbl>
      <w:tblPr>
        <w:tblStyle w:val="37"/>
        <w:tblW w:w="8528"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45" w:type="dxa"/>
          <w:left w:w="45" w:type="dxa"/>
          <w:bottom w:w="45" w:type="dxa"/>
          <w:right w:w="45" w:type="dxa"/>
        </w:tblCellMar>
      </w:tblPr>
      <w:tblGrid>
        <w:gridCol w:w="489"/>
        <w:gridCol w:w="862"/>
        <w:gridCol w:w="2517"/>
        <w:gridCol w:w="851"/>
        <w:gridCol w:w="1705"/>
        <w:gridCol w:w="1052"/>
        <w:gridCol w:w="1052"/>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45" w:type="dxa"/>
            <w:left w:w="45" w:type="dxa"/>
            <w:bottom w:w="45" w:type="dxa"/>
            <w:right w:w="45" w:type="dxa"/>
          </w:tblCellMar>
        </w:tblPrEx>
        <w:trPr>
          <w:trHeight w:val="737" w:hRule="atLeast"/>
          <w:tblHeader/>
          <w:jc w:val="center"/>
        </w:trPr>
        <w:tc>
          <w:tcPr>
            <w:tcW w:w="489" w:type="dxa"/>
            <w:tcBorders>
              <w:top w:val="outset" w:color="000000" w:sz="6" w:space="0"/>
              <w:left w:val="outset" w:color="000000" w:sz="6" w:space="0"/>
              <w:bottom w:val="single" w:color="auto" w:sz="4" w:space="0"/>
              <w:right w:val="outset" w:color="000000" w:sz="6" w:space="0"/>
            </w:tcBorders>
            <w:vAlign w:val="center"/>
          </w:tcPr>
          <w:p>
            <w:pPr>
              <w:widowControl/>
              <w:spacing w:line="360" w:lineRule="exact"/>
              <w:jc w:val="center"/>
              <w:rPr>
                <w:rFonts w:ascii="宋体" w:hAnsi="宋体" w:cs="宋体"/>
                <w:b/>
                <w:color w:val="auto"/>
                <w:kern w:val="0"/>
                <w:sz w:val="24"/>
              </w:rPr>
            </w:pPr>
            <w:r>
              <w:rPr>
                <w:rFonts w:hint="eastAsia" w:ascii="宋体" w:hAnsi="宋体" w:cs="宋体"/>
                <w:b/>
                <w:color w:val="auto"/>
                <w:kern w:val="0"/>
                <w:sz w:val="24"/>
              </w:rPr>
              <w:t>合同包</w:t>
            </w:r>
          </w:p>
        </w:tc>
        <w:tc>
          <w:tcPr>
            <w:tcW w:w="862" w:type="dxa"/>
            <w:tcBorders>
              <w:top w:val="outset" w:color="000000" w:sz="6" w:space="0"/>
              <w:left w:val="single" w:color="auto" w:sz="4" w:space="0"/>
              <w:bottom w:val="single" w:color="auto" w:sz="4" w:space="0"/>
              <w:right w:val="outset" w:color="000000" w:sz="6" w:space="0"/>
            </w:tcBorders>
            <w:vAlign w:val="center"/>
          </w:tcPr>
          <w:p>
            <w:pPr>
              <w:widowControl/>
              <w:spacing w:line="360" w:lineRule="auto"/>
              <w:jc w:val="center"/>
              <w:rPr>
                <w:rFonts w:ascii="宋体" w:hAnsi="宋体" w:cs="宋体"/>
                <w:b/>
                <w:color w:val="auto"/>
                <w:kern w:val="0"/>
                <w:sz w:val="24"/>
              </w:rPr>
            </w:pPr>
            <w:r>
              <w:rPr>
                <w:rFonts w:hint="eastAsia" w:ascii="宋体" w:hAnsi="宋体" w:cs="宋体"/>
                <w:b/>
                <w:color w:val="auto"/>
                <w:kern w:val="0"/>
                <w:sz w:val="24"/>
              </w:rPr>
              <w:t>品目号</w:t>
            </w:r>
          </w:p>
        </w:tc>
        <w:tc>
          <w:tcPr>
            <w:tcW w:w="2517" w:type="dxa"/>
            <w:tcBorders>
              <w:top w:val="outset" w:color="000000" w:sz="6" w:space="0"/>
              <w:left w:val="outset" w:color="000000" w:sz="6" w:space="0"/>
              <w:bottom w:val="single" w:color="auto" w:sz="4" w:space="0"/>
              <w:right w:val="outset" w:color="000000" w:sz="6" w:space="0"/>
            </w:tcBorders>
            <w:vAlign w:val="center"/>
          </w:tcPr>
          <w:p>
            <w:pPr>
              <w:widowControl/>
              <w:spacing w:line="360" w:lineRule="auto"/>
              <w:jc w:val="center"/>
              <w:rPr>
                <w:rFonts w:ascii="宋体" w:hAnsi="宋体" w:cs="宋体"/>
                <w:b/>
                <w:color w:val="auto"/>
                <w:kern w:val="0"/>
                <w:sz w:val="24"/>
              </w:rPr>
            </w:pPr>
            <w:r>
              <w:rPr>
                <w:rFonts w:hint="eastAsia" w:ascii="宋体" w:hAnsi="宋体" w:cs="宋体"/>
                <w:b/>
                <w:color w:val="auto"/>
                <w:kern w:val="0"/>
                <w:sz w:val="24"/>
                <w:szCs w:val="24"/>
              </w:rPr>
              <w:t>服务名称</w:t>
            </w:r>
          </w:p>
        </w:tc>
        <w:tc>
          <w:tcPr>
            <w:tcW w:w="851" w:type="dxa"/>
            <w:tcBorders>
              <w:top w:val="outset" w:color="000000" w:sz="6" w:space="0"/>
              <w:left w:val="single" w:color="auto" w:sz="4" w:space="0"/>
              <w:bottom w:val="single" w:color="auto" w:sz="4" w:space="0"/>
              <w:right w:val="single" w:color="auto" w:sz="4" w:space="0"/>
            </w:tcBorders>
            <w:vAlign w:val="center"/>
          </w:tcPr>
          <w:p>
            <w:pPr>
              <w:widowControl/>
              <w:jc w:val="center"/>
              <w:rPr>
                <w:rFonts w:ascii="宋体" w:hAnsi="宋体" w:cs="宋体"/>
                <w:b/>
                <w:color w:val="auto"/>
                <w:kern w:val="0"/>
                <w:sz w:val="24"/>
              </w:rPr>
            </w:pPr>
            <w:r>
              <w:rPr>
                <w:rFonts w:hint="eastAsia" w:ascii="宋体" w:hAnsi="宋体" w:cs="宋体"/>
                <w:b/>
                <w:color w:val="auto"/>
                <w:kern w:val="0"/>
                <w:sz w:val="24"/>
                <w:szCs w:val="24"/>
              </w:rPr>
              <w:t>数量</w:t>
            </w:r>
          </w:p>
        </w:tc>
        <w:tc>
          <w:tcPr>
            <w:tcW w:w="1705" w:type="dxa"/>
            <w:tcBorders>
              <w:top w:val="outset" w:color="000000" w:sz="6" w:space="0"/>
              <w:left w:val="single" w:color="auto" w:sz="4" w:space="0"/>
              <w:bottom w:val="single" w:color="auto" w:sz="4" w:space="0"/>
              <w:right w:val="single" w:color="auto" w:sz="4" w:space="0"/>
            </w:tcBorders>
            <w:vAlign w:val="center"/>
          </w:tcPr>
          <w:p>
            <w:pPr>
              <w:widowControl/>
              <w:jc w:val="center"/>
              <w:rPr>
                <w:rFonts w:ascii="宋体" w:hAnsi="宋体" w:cs="宋体"/>
                <w:b/>
                <w:color w:val="auto"/>
                <w:kern w:val="0"/>
                <w:sz w:val="24"/>
              </w:rPr>
            </w:pPr>
            <w:r>
              <w:rPr>
                <w:rFonts w:hint="eastAsia" w:ascii="宋体" w:hAnsi="宋体"/>
                <w:b/>
                <w:color w:val="auto"/>
                <w:sz w:val="24"/>
              </w:rPr>
              <w:t>保费预估价（万元/年）</w:t>
            </w:r>
          </w:p>
        </w:tc>
        <w:tc>
          <w:tcPr>
            <w:tcW w:w="1052" w:type="dxa"/>
            <w:tcBorders>
              <w:top w:val="outset" w:color="000000" w:sz="6" w:space="0"/>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b/>
                <w:color w:val="auto"/>
                <w:kern w:val="0"/>
                <w:sz w:val="24"/>
              </w:rPr>
            </w:pPr>
            <w:r>
              <w:rPr>
                <w:rFonts w:hint="eastAsia" w:ascii="宋体"/>
                <w:b/>
                <w:color w:val="auto"/>
                <w:sz w:val="24"/>
                <w:szCs w:val="24"/>
              </w:rPr>
              <w:t>服务内容</w:t>
            </w:r>
            <w:r>
              <w:rPr>
                <w:rFonts w:hint="eastAsia" w:ascii="宋体" w:hAnsi="宋体" w:cs="宋体"/>
                <w:b/>
                <w:color w:val="auto"/>
                <w:kern w:val="0"/>
                <w:sz w:val="24"/>
              </w:rPr>
              <w:t>及要求</w:t>
            </w:r>
          </w:p>
        </w:tc>
        <w:tc>
          <w:tcPr>
            <w:tcW w:w="1052" w:type="dxa"/>
            <w:tcBorders>
              <w:top w:val="outset" w:color="000000" w:sz="6" w:space="0"/>
              <w:left w:val="single" w:color="auto" w:sz="4" w:space="0"/>
              <w:bottom w:val="single" w:color="auto" w:sz="4" w:space="0"/>
              <w:right w:val="single" w:color="auto" w:sz="4" w:space="0"/>
            </w:tcBorders>
            <w:vAlign w:val="center"/>
          </w:tcPr>
          <w:p>
            <w:pPr>
              <w:widowControl/>
              <w:spacing w:line="340" w:lineRule="exact"/>
              <w:jc w:val="center"/>
              <w:rPr>
                <w:rFonts w:ascii="宋体"/>
                <w:b/>
                <w:color w:val="auto"/>
                <w:sz w:val="24"/>
                <w:szCs w:val="24"/>
              </w:rPr>
            </w:pPr>
            <w:r>
              <w:rPr>
                <w:rFonts w:hint="eastAsia" w:ascii="宋体" w:hAnsi="宋体" w:cs="宋体"/>
                <w:b/>
                <w:color w:val="auto"/>
                <w:kern w:val="0"/>
                <w:sz w:val="24"/>
                <w:szCs w:val="24"/>
              </w:rPr>
              <w:t>服务期限</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45" w:type="dxa"/>
            <w:left w:w="45" w:type="dxa"/>
            <w:bottom w:w="45" w:type="dxa"/>
            <w:right w:w="45" w:type="dxa"/>
          </w:tblCellMar>
        </w:tblPrEx>
        <w:trPr>
          <w:cantSplit/>
          <w:trHeight w:val="611" w:hRule="atLeast"/>
          <w:jc w:val="center"/>
        </w:trPr>
        <w:tc>
          <w:tcPr>
            <w:tcW w:w="48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color w:val="auto"/>
                <w:sz w:val="24"/>
                <w:szCs w:val="24"/>
              </w:rPr>
            </w:pPr>
            <w:r>
              <w:rPr>
                <w:rFonts w:hint="eastAsia" w:ascii="宋体" w:hAnsi="宋体" w:cs="宋体"/>
                <w:bCs/>
                <w:color w:val="auto"/>
                <w:sz w:val="24"/>
                <w:szCs w:val="24"/>
              </w:rPr>
              <w:t>1</w:t>
            </w:r>
          </w:p>
        </w:tc>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1-1</w:t>
            </w:r>
          </w:p>
        </w:tc>
        <w:tc>
          <w:tcPr>
            <w:tcW w:w="25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Cs/>
                <w:color w:val="auto"/>
                <w:sz w:val="24"/>
                <w:szCs w:val="24"/>
              </w:rPr>
            </w:pPr>
            <w:r>
              <w:rPr>
                <w:rFonts w:hint="eastAsia" w:ascii="宋体" w:hAnsi="宋体" w:cs="宋体"/>
                <w:color w:val="auto"/>
                <w:sz w:val="24"/>
              </w:rPr>
              <w:t>福安、寿宁、柘荣、周宁、福鼎的保险采购项目</w:t>
            </w:r>
          </w:p>
        </w:tc>
        <w:tc>
          <w:tcPr>
            <w:tcW w:w="851" w:type="dxa"/>
            <w:vMerge w:val="restart"/>
            <w:tcBorders>
              <w:left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szCs w:val="24"/>
              </w:rPr>
              <w:t>1项</w:t>
            </w: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color w:val="auto"/>
                <w:sz w:val="24"/>
                <w:szCs w:val="24"/>
              </w:rPr>
            </w:pPr>
            <w:r>
              <w:rPr>
                <w:rFonts w:hint="eastAsia" w:ascii="宋体" w:hAnsi="宋体" w:cs="宋体"/>
                <w:color w:val="auto"/>
                <w:sz w:val="24"/>
                <w:szCs w:val="22"/>
              </w:rPr>
              <w:t xml:space="preserve"> 758</w:t>
            </w:r>
          </w:p>
        </w:tc>
        <w:tc>
          <w:tcPr>
            <w:tcW w:w="1052" w:type="dxa"/>
            <w:vMerge w:val="restart"/>
            <w:tcBorders>
              <w:left w:val="single" w:color="auto" w:sz="4" w:space="0"/>
              <w:right w:val="single" w:color="auto" w:sz="4" w:space="0"/>
            </w:tcBorders>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详见第三章招标内容及要求</w:t>
            </w:r>
          </w:p>
        </w:tc>
        <w:tc>
          <w:tcPr>
            <w:tcW w:w="1052" w:type="dxa"/>
            <w:vMerge w:val="restart"/>
            <w:tcBorders>
              <w:left w:val="single" w:color="auto" w:sz="4" w:space="0"/>
              <w:right w:val="single" w:color="auto" w:sz="4" w:space="0"/>
            </w:tcBorders>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1年+1年+1年</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45" w:type="dxa"/>
            <w:left w:w="45" w:type="dxa"/>
            <w:bottom w:w="45" w:type="dxa"/>
            <w:right w:w="45" w:type="dxa"/>
          </w:tblCellMar>
        </w:tblPrEx>
        <w:trPr>
          <w:cantSplit/>
          <w:trHeight w:val="611" w:hRule="atLeast"/>
          <w:jc w:val="center"/>
        </w:trPr>
        <w:tc>
          <w:tcPr>
            <w:tcW w:w="48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color w:val="auto"/>
                <w:sz w:val="24"/>
                <w:szCs w:val="24"/>
              </w:rPr>
            </w:pPr>
            <w:r>
              <w:rPr>
                <w:rFonts w:hint="eastAsia" w:ascii="宋体" w:hAnsi="宋体" w:cs="宋体"/>
                <w:bCs/>
                <w:color w:val="auto"/>
                <w:sz w:val="24"/>
                <w:szCs w:val="24"/>
              </w:rPr>
              <w:t>2</w:t>
            </w:r>
          </w:p>
        </w:tc>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2-1</w:t>
            </w:r>
          </w:p>
        </w:tc>
        <w:tc>
          <w:tcPr>
            <w:tcW w:w="25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4"/>
              </w:rPr>
            </w:pPr>
            <w:r>
              <w:rPr>
                <w:rFonts w:hint="eastAsia" w:ascii="宋体" w:hAnsi="宋体" w:cs="宋体"/>
                <w:color w:val="auto"/>
                <w:sz w:val="24"/>
              </w:rPr>
              <w:t>宁德、古田、屏南、霞浦的保险采购项目</w:t>
            </w:r>
          </w:p>
        </w:tc>
        <w:tc>
          <w:tcPr>
            <w:tcW w:w="851" w:type="dxa"/>
            <w:vMerge w:val="continue"/>
            <w:tcBorders>
              <w:left w:val="single" w:color="auto" w:sz="4" w:space="0"/>
              <w:right w:val="single" w:color="auto" w:sz="4" w:space="0"/>
            </w:tcBorders>
            <w:vAlign w:val="center"/>
          </w:tcPr>
          <w:p>
            <w:pPr>
              <w:spacing w:line="360" w:lineRule="auto"/>
              <w:jc w:val="center"/>
              <w:rPr>
                <w:rFonts w:ascii="宋体" w:hAnsi="宋体" w:cs="宋体"/>
                <w:color w:val="auto"/>
                <w:sz w:val="24"/>
                <w:szCs w:val="24"/>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2"/>
              </w:rPr>
            </w:pPr>
            <w:r>
              <w:rPr>
                <w:rFonts w:hint="eastAsia" w:ascii="宋体" w:hAnsi="宋体" w:cs="宋体"/>
                <w:color w:val="auto"/>
                <w:sz w:val="24"/>
                <w:szCs w:val="22"/>
              </w:rPr>
              <w:t>900</w:t>
            </w:r>
          </w:p>
        </w:tc>
        <w:tc>
          <w:tcPr>
            <w:tcW w:w="1052" w:type="dxa"/>
            <w:vMerge w:val="continue"/>
            <w:tcBorders>
              <w:left w:val="single" w:color="auto" w:sz="4" w:space="0"/>
              <w:right w:val="single" w:color="auto" w:sz="4" w:space="0"/>
            </w:tcBorders>
            <w:vAlign w:val="center"/>
          </w:tcPr>
          <w:p>
            <w:pPr>
              <w:spacing w:line="360" w:lineRule="auto"/>
              <w:jc w:val="center"/>
              <w:rPr>
                <w:rFonts w:ascii="宋体" w:hAnsi="宋体" w:cs="宋体"/>
                <w:bCs/>
                <w:color w:val="auto"/>
                <w:sz w:val="24"/>
                <w:szCs w:val="24"/>
              </w:rPr>
            </w:pPr>
          </w:p>
        </w:tc>
        <w:tc>
          <w:tcPr>
            <w:tcW w:w="1052" w:type="dxa"/>
            <w:vMerge w:val="continue"/>
            <w:tcBorders>
              <w:left w:val="single" w:color="auto" w:sz="4" w:space="0"/>
              <w:right w:val="single" w:color="auto" w:sz="4" w:space="0"/>
            </w:tcBorders>
            <w:vAlign w:val="center"/>
          </w:tcPr>
          <w:p>
            <w:pPr>
              <w:spacing w:line="360" w:lineRule="auto"/>
              <w:jc w:val="center"/>
              <w:rPr>
                <w:rFonts w:ascii="宋体" w:hAnsi="宋体" w:cs="宋体"/>
                <w:bCs/>
                <w:color w:val="auto"/>
                <w:sz w:val="24"/>
                <w:szCs w:val="24"/>
              </w:rPr>
            </w:pPr>
          </w:p>
        </w:tc>
      </w:tr>
    </w:tbl>
    <w:p>
      <w:pPr>
        <w:widowControl/>
        <w:spacing w:line="400" w:lineRule="exact"/>
        <w:rPr>
          <w:rFonts w:ascii="宋体" w:hAnsi="宋体"/>
          <w:b/>
          <w:color w:val="auto"/>
          <w:kern w:val="0"/>
          <w:sz w:val="24"/>
        </w:rPr>
      </w:pPr>
      <w:r>
        <w:rPr>
          <w:rFonts w:hint="eastAsia" w:ascii="宋体" w:hAnsi="宋体"/>
          <w:b/>
          <w:color w:val="auto"/>
          <w:kern w:val="0"/>
          <w:sz w:val="24"/>
        </w:rPr>
        <w:t>注：</w:t>
      </w:r>
    </w:p>
    <w:p>
      <w:pPr>
        <w:snapToGrid w:val="0"/>
        <w:spacing w:line="360" w:lineRule="auto"/>
        <w:ind w:left="359" w:leftChars="171"/>
        <w:rPr>
          <w:rFonts w:ascii="宋体" w:hAnsi="宋体"/>
          <w:color w:val="auto"/>
          <w:sz w:val="24"/>
          <w:szCs w:val="24"/>
        </w:rPr>
      </w:pPr>
      <w:r>
        <w:rPr>
          <w:rFonts w:hint="eastAsia" w:ascii="宋体" w:hAnsi="宋体"/>
          <w:color w:val="auto"/>
          <w:sz w:val="24"/>
          <w:szCs w:val="24"/>
        </w:rPr>
        <w:t>1、投标人可按合同包投标，对同一合同包内所有品目号内容投标时必须完整。评标与授标以合同包为单位。</w:t>
      </w:r>
    </w:p>
    <w:p>
      <w:pPr>
        <w:snapToGrid w:val="0"/>
        <w:spacing w:line="360" w:lineRule="auto"/>
        <w:ind w:left="359" w:leftChars="171"/>
        <w:rPr>
          <w:rFonts w:ascii="宋体" w:hAnsi="宋体"/>
          <w:color w:val="auto"/>
          <w:sz w:val="24"/>
          <w:szCs w:val="24"/>
        </w:rPr>
      </w:pPr>
      <w:r>
        <w:rPr>
          <w:rFonts w:hint="eastAsia" w:ascii="宋体" w:hAnsi="宋体"/>
          <w:color w:val="auto"/>
          <w:sz w:val="24"/>
          <w:szCs w:val="24"/>
        </w:rPr>
        <w:t xml:space="preserve"> 2、投标人</w:t>
      </w:r>
      <w:r>
        <w:rPr>
          <w:rFonts w:hint="eastAsia" w:ascii="宋体" w:hAnsi="宋体" w:cs="宋体"/>
          <w:color w:val="auto"/>
          <w:kern w:val="0"/>
          <w:sz w:val="24"/>
          <w:szCs w:val="24"/>
        </w:rPr>
        <w:t>应以包括有关项目的所有费用进行分项报价，包括：招标文件中的服务、保管、管理、设备投入、保险等，以及所有根据合同或其它原因应由</w:t>
      </w:r>
      <w:r>
        <w:rPr>
          <w:rFonts w:hint="eastAsia" w:ascii="宋体" w:hAnsi="宋体"/>
          <w:color w:val="auto"/>
          <w:sz w:val="24"/>
          <w:szCs w:val="24"/>
        </w:rPr>
        <w:t>供应商</w:t>
      </w:r>
      <w:r>
        <w:rPr>
          <w:rFonts w:hint="eastAsia" w:ascii="宋体" w:hAnsi="宋体" w:cs="宋体"/>
          <w:color w:val="auto"/>
          <w:kern w:val="0"/>
          <w:sz w:val="24"/>
          <w:szCs w:val="24"/>
        </w:rPr>
        <w:t>支付的税金和其它应缴的费用，以及可合理推断的责任和义务，未进行分项报价的视同包含在投标总价中</w:t>
      </w:r>
      <w:r>
        <w:rPr>
          <w:rFonts w:hint="eastAsia" w:ascii="宋体" w:hAnsi="宋体"/>
          <w:color w:val="auto"/>
          <w:sz w:val="24"/>
          <w:szCs w:val="24"/>
        </w:rPr>
        <w:t>。</w:t>
      </w:r>
    </w:p>
    <w:p>
      <w:pPr>
        <w:spacing w:line="360" w:lineRule="auto"/>
        <w:ind w:firstLine="480" w:firstLineChars="200"/>
        <w:rPr>
          <w:rFonts w:ascii="宋体" w:hAnsi="宋体" w:cs="宋体"/>
          <w:bCs/>
          <w:color w:val="auto"/>
          <w:sz w:val="24"/>
          <w:szCs w:val="24"/>
        </w:rPr>
      </w:pPr>
      <w:r>
        <w:rPr>
          <w:rFonts w:hint="eastAsia" w:ascii="宋体"/>
          <w:color w:val="auto"/>
          <w:sz w:val="24"/>
          <w:szCs w:val="24"/>
        </w:rPr>
        <w:t>3、中标人不得转包他人，若发现转包，招标代理机构将没收其投标保证金，招标人有</w:t>
      </w:r>
      <w:r>
        <w:rPr>
          <w:rFonts w:hint="eastAsia" w:ascii="宋体" w:hAnsi="宋体" w:cs="宋体"/>
          <w:color w:val="auto"/>
          <w:sz w:val="24"/>
          <w:szCs w:val="24"/>
        </w:rPr>
        <w:t>权终止协议，并有权要求</w:t>
      </w:r>
      <w:r>
        <w:rPr>
          <w:rFonts w:hint="eastAsia" w:ascii="宋体"/>
          <w:color w:val="auto"/>
          <w:sz w:val="24"/>
          <w:szCs w:val="24"/>
        </w:rPr>
        <w:t>中标人</w:t>
      </w:r>
      <w:r>
        <w:rPr>
          <w:rFonts w:hint="eastAsia" w:ascii="宋体" w:hAnsi="宋体" w:cs="宋体"/>
          <w:color w:val="auto"/>
          <w:sz w:val="24"/>
          <w:szCs w:val="24"/>
        </w:rPr>
        <w:t>承担违约责任。</w:t>
      </w:r>
    </w:p>
    <w:p>
      <w:p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4、</w:t>
      </w:r>
      <w:r>
        <w:rPr>
          <w:rFonts w:hint="eastAsia" w:ascii="宋体" w:hAnsi="宋体"/>
          <w:b/>
          <w:bCs/>
          <w:color w:val="auto"/>
          <w:sz w:val="24"/>
          <w:szCs w:val="24"/>
        </w:rPr>
        <w:t>本项目分为 2 个合同包。</w:t>
      </w:r>
      <w:r>
        <w:rPr>
          <w:rFonts w:hint="eastAsia" w:ascii="宋体" w:hAnsi="宋体" w:cs="宋体"/>
          <w:b/>
          <w:bCs/>
          <w:color w:val="auto"/>
          <w:sz w:val="24"/>
          <w:szCs w:val="24"/>
        </w:rPr>
        <w:t>合同包1含业务内容：福安、寿宁、柘荣、周宁、福鼎的车辆保险、承运险及安责险等业务。合同包2包含业务内容：宁德、古田、屏南、霞浦的车辆保险、承运险及安责险等业务。</w:t>
      </w:r>
    </w:p>
    <w:p>
      <w:pPr>
        <w:pStyle w:val="2"/>
        <w:spacing w:line="360" w:lineRule="auto"/>
        <w:ind w:firstLine="482" w:firstLineChars="200"/>
        <w:rPr>
          <w:rFonts w:ascii="宋体" w:hAnsi="宋体"/>
          <w:b/>
          <w:bCs/>
          <w:color w:val="auto"/>
          <w:kern w:val="2"/>
          <w:sz w:val="24"/>
          <w:szCs w:val="24"/>
        </w:rPr>
      </w:pPr>
      <w:r>
        <w:rPr>
          <w:rFonts w:hint="eastAsia" w:ascii="宋体" w:hAnsi="宋体"/>
          <w:b/>
          <w:bCs/>
          <w:color w:val="auto"/>
          <w:kern w:val="2"/>
          <w:sz w:val="24"/>
          <w:szCs w:val="24"/>
        </w:rPr>
        <w:t>投标人可对其中一个或者所有合同包进行投标及报价，但一个投标人只能成为其中 1 个合同包的中标人。推荐中标候选人从第一个合同包开始推荐，如投标人已推荐为合同包 1 的中标候选人，在合同包 2中即使综合得分高于其他投标人，仍不再被推荐为该合同包的中标候选人，中标候选人由次高的投标人获得推荐，各投标人须对此条款进行专项承诺，未按此条款进行专项承诺的，按无效投标处理。</w:t>
      </w:r>
    </w:p>
    <w:p>
      <w:p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4.1、承保区域分配由采购人和各合同包中标人三方进行协商后根据实际情况进行调整，投标人需对此项做出专项承诺，未提供的视为无效投标。</w:t>
      </w:r>
    </w:p>
    <w:p>
      <w:p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4.2、在签订服务合同之后，采购人对各中标人在服务期限内的服务情况进行考核，考核结果合格的中标人，不得拒绝承保，中标人拒绝承保的，视为中标人违约，中标人应向采购人支付合同总价款5%的违约金，若违约金金额不足以弥补损失的，应另行赔偿采购人的损失。投标人需对此项做出专项承诺，未提供的视为无效投标。</w:t>
      </w:r>
    </w:p>
    <w:p>
      <w:pPr>
        <w:spacing w:line="360" w:lineRule="auto"/>
        <w:ind w:firstLine="482" w:firstLineChars="200"/>
        <w:rPr>
          <w:rFonts w:ascii="宋体" w:hAnsi="宋体" w:cs="宋体"/>
          <w:color w:val="auto"/>
          <w:kern w:val="0"/>
          <w:sz w:val="24"/>
          <w:szCs w:val="24"/>
        </w:rPr>
      </w:pPr>
      <w:r>
        <w:rPr>
          <w:rFonts w:hint="eastAsia" w:ascii="宋体" w:hAnsi="宋体" w:cs="宋体"/>
          <w:b/>
          <w:bCs/>
          <w:color w:val="auto"/>
          <w:sz w:val="24"/>
          <w:szCs w:val="24"/>
        </w:rPr>
        <w:t>5、（合同包1和合同包2）</w:t>
      </w:r>
      <w:r>
        <w:rPr>
          <w:rFonts w:hint="eastAsia" w:ascii="宋体" w:hAnsi="宋体" w:cs="宋体"/>
          <w:b/>
          <w:color w:val="auto"/>
          <w:sz w:val="24"/>
        </w:rPr>
        <w:t>保险协议期限</w:t>
      </w:r>
      <w:r>
        <w:rPr>
          <w:rFonts w:hint="eastAsia" w:ascii="宋体" w:hAnsi="宋体" w:cs="宋体"/>
          <w:color w:val="auto"/>
          <w:kern w:val="0"/>
          <w:sz w:val="24"/>
          <w:szCs w:val="24"/>
        </w:rPr>
        <w:t>（1年+1年+1年）：自协议签订之日开始计算。采购人有权在每年合同终止一个月前，对乙方在服务期限内引入服务考核机制，对服务情况进行评价，考评内容主要包括以下方面：日常服务、理赔时效、服务满意度等方面，考核结果用于次年续保时承保资格和份额的分配依据，考核80分（含）以上的，保留次年续保资格，并且维持上年承保份额；考核60（含）-80分的，保留承保资格，承保份额做相应减少；考核分数60分以下的，取消承保资格。成交方无条件服从采购人上述安排。</w:t>
      </w:r>
    </w:p>
    <w:p>
      <w:p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6、（合同包1和合同包2）付款方式：按合同约定</w:t>
      </w:r>
    </w:p>
    <w:p>
      <w:p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7、（合同包1）服务地点：福安、寿宁、柘荣、周宁、福鼎（注：服务地点可以由采购人和各合同包中标人三方进行协商后根据实际情况进行调整）</w:t>
      </w:r>
    </w:p>
    <w:p>
      <w:pPr>
        <w:spacing w:line="360" w:lineRule="auto"/>
        <w:ind w:firstLine="843" w:firstLineChars="350"/>
        <w:rPr>
          <w:rFonts w:ascii="宋体" w:hAnsi="宋体" w:cs="宋体"/>
          <w:b/>
          <w:bCs/>
          <w:color w:val="auto"/>
          <w:sz w:val="24"/>
          <w:szCs w:val="24"/>
        </w:rPr>
      </w:pPr>
      <w:r>
        <w:rPr>
          <w:rFonts w:hint="eastAsia" w:ascii="宋体" w:hAnsi="宋体" w:cs="宋体"/>
          <w:b/>
          <w:bCs/>
          <w:color w:val="auto"/>
          <w:sz w:val="24"/>
          <w:szCs w:val="24"/>
        </w:rPr>
        <w:t>（合同包2）服务地点：宁德、古田、屏南、霞浦（注：服务地点可以由采购人和各合同包中标人三方进行协商后根据实际情况进行调整）</w:t>
      </w:r>
    </w:p>
    <w:p>
      <w:pPr>
        <w:pStyle w:val="140"/>
        <w:numPr>
          <w:ilvl w:val="0"/>
          <w:numId w:val="4"/>
        </w:numPr>
        <w:spacing w:line="360" w:lineRule="auto"/>
        <w:jc w:val="center"/>
        <w:outlineLvl w:val="0"/>
        <w:rPr>
          <w:rFonts w:hAnsi="宋体"/>
          <w:b/>
          <w:color w:val="auto"/>
          <w:sz w:val="36"/>
          <w:szCs w:val="36"/>
        </w:rPr>
      </w:pPr>
      <w:r>
        <w:rPr>
          <w:rFonts w:hAnsi="宋体"/>
          <w:b/>
          <w:color w:val="auto"/>
          <w:kern w:val="2"/>
          <w:shd w:val="pct10" w:color="auto" w:fill="FFFFFF"/>
        </w:rPr>
        <w:br w:type="page"/>
      </w:r>
      <w:bookmarkStart w:id="6" w:name="_Toc352224147"/>
      <w:bookmarkStart w:id="7" w:name="_Toc277779949"/>
      <w:r>
        <w:rPr>
          <w:rFonts w:hint="eastAsia" w:hAnsi="宋体"/>
          <w:b/>
          <w:color w:val="auto"/>
          <w:sz w:val="36"/>
          <w:szCs w:val="36"/>
        </w:rPr>
        <w:t>投标人须知</w:t>
      </w:r>
      <w:bookmarkEnd w:id="6"/>
      <w:bookmarkEnd w:id="7"/>
    </w:p>
    <w:p>
      <w:pPr>
        <w:spacing w:line="360" w:lineRule="auto"/>
        <w:jc w:val="center"/>
        <w:outlineLvl w:val="1"/>
        <w:rPr>
          <w:rFonts w:ascii="宋体" w:hAnsi="宋体"/>
          <w:color w:val="auto"/>
          <w:sz w:val="24"/>
        </w:rPr>
      </w:pPr>
      <w:bookmarkStart w:id="8" w:name="_Toc352224148"/>
      <w:bookmarkStart w:id="9" w:name="_Toc277779950"/>
      <w:r>
        <w:rPr>
          <w:rFonts w:hint="eastAsia" w:ascii="宋体" w:hAnsi="宋体"/>
          <w:color w:val="auto"/>
          <w:sz w:val="24"/>
        </w:rPr>
        <w:t>投标人须知前附表</w:t>
      </w:r>
      <w:bookmarkEnd w:id="8"/>
      <w:bookmarkEnd w:id="9"/>
    </w:p>
    <w:p>
      <w:pPr>
        <w:spacing w:line="360" w:lineRule="auto"/>
        <w:ind w:firstLine="525"/>
        <w:rPr>
          <w:rFonts w:ascii="宋体" w:hAnsi="宋体"/>
          <w:color w:val="auto"/>
          <w:sz w:val="24"/>
        </w:rPr>
      </w:pPr>
      <w:r>
        <w:rPr>
          <w:rFonts w:hint="eastAsia" w:ascii="宋体" w:hAnsi="宋体"/>
          <w:color w:val="auto"/>
          <w:sz w:val="24"/>
        </w:rPr>
        <w:t>本须知前附表的条款号是与《投标人须知》中条款的项号相对应的。如果有矛盾的话，应以本须知前附表为准。</w:t>
      </w:r>
    </w:p>
    <w:tbl>
      <w:tblPr>
        <w:tblStyle w:val="37"/>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41"/>
        <w:gridCol w:w="7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0" w:type="dxa"/>
            <w:noWrap/>
            <w:vAlign w:val="center"/>
          </w:tcPr>
          <w:p>
            <w:pPr>
              <w:spacing w:line="360" w:lineRule="auto"/>
              <w:jc w:val="center"/>
              <w:rPr>
                <w:rFonts w:ascii="宋体" w:hAnsi="宋体"/>
                <w:b/>
                <w:color w:val="auto"/>
                <w:sz w:val="24"/>
              </w:rPr>
            </w:pPr>
            <w:r>
              <w:rPr>
                <w:rFonts w:hint="eastAsia" w:ascii="宋体" w:hAnsi="宋体"/>
                <w:b/>
                <w:color w:val="auto"/>
                <w:sz w:val="24"/>
              </w:rPr>
              <w:t>项号</w:t>
            </w:r>
          </w:p>
        </w:tc>
        <w:tc>
          <w:tcPr>
            <w:tcW w:w="741" w:type="dxa"/>
            <w:noWrap/>
            <w:vAlign w:val="center"/>
          </w:tcPr>
          <w:p>
            <w:pPr>
              <w:spacing w:line="360" w:lineRule="auto"/>
              <w:jc w:val="center"/>
              <w:rPr>
                <w:rFonts w:ascii="宋体" w:hAnsi="宋体"/>
                <w:b/>
                <w:color w:val="auto"/>
                <w:sz w:val="24"/>
              </w:rPr>
            </w:pPr>
            <w:r>
              <w:rPr>
                <w:rFonts w:hint="eastAsia" w:ascii="宋体" w:hAnsi="宋体"/>
                <w:b/>
                <w:color w:val="auto"/>
                <w:sz w:val="24"/>
              </w:rPr>
              <w:t>条款号</w:t>
            </w:r>
          </w:p>
        </w:tc>
        <w:tc>
          <w:tcPr>
            <w:tcW w:w="7764" w:type="dxa"/>
            <w:noWrap/>
            <w:vAlign w:val="center"/>
          </w:tcPr>
          <w:p>
            <w:pPr>
              <w:spacing w:line="360" w:lineRule="auto"/>
              <w:jc w:val="center"/>
              <w:rPr>
                <w:rFonts w:ascii="宋体" w:hAnsi="宋体"/>
                <w:b/>
                <w:color w:val="auto"/>
                <w:sz w:val="24"/>
              </w:rPr>
            </w:pPr>
            <w:r>
              <w:rPr>
                <w:rFonts w:hint="eastAsia" w:ascii="宋体" w:hAnsi="宋体"/>
                <w:b/>
                <w:color w:val="auto"/>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780" w:type="dxa"/>
            <w:noWrap/>
            <w:vAlign w:val="center"/>
          </w:tcPr>
          <w:p>
            <w:pPr>
              <w:spacing w:line="360" w:lineRule="auto"/>
              <w:jc w:val="center"/>
              <w:rPr>
                <w:rFonts w:ascii="宋体" w:hAnsi="宋体"/>
                <w:color w:val="auto"/>
                <w:sz w:val="24"/>
              </w:rPr>
            </w:pPr>
            <w:r>
              <w:rPr>
                <w:rFonts w:ascii="宋体" w:hAnsi="宋体"/>
                <w:color w:val="auto"/>
                <w:sz w:val="24"/>
              </w:rPr>
              <w:t>1</w:t>
            </w:r>
          </w:p>
        </w:tc>
        <w:tc>
          <w:tcPr>
            <w:tcW w:w="741" w:type="dxa"/>
            <w:noWrap/>
            <w:vAlign w:val="center"/>
          </w:tcPr>
          <w:p>
            <w:pPr>
              <w:spacing w:line="360" w:lineRule="auto"/>
              <w:jc w:val="center"/>
              <w:rPr>
                <w:rFonts w:ascii="宋体" w:hAnsi="宋体"/>
                <w:color w:val="auto"/>
                <w:sz w:val="24"/>
              </w:rPr>
            </w:pPr>
            <w:r>
              <w:rPr>
                <w:rFonts w:ascii="宋体" w:hAnsi="宋体"/>
                <w:color w:val="auto"/>
                <w:sz w:val="24"/>
              </w:rPr>
              <w:t>1.1</w:t>
            </w:r>
          </w:p>
        </w:tc>
        <w:tc>
          <w:tcPr>
            <w:tcW w:w="7764" w:type="dxa"/>
            <w:noWrap/>
            <w:vAlign w:val="center"/>
          </w:tcPr>
          <w:p>
            <w:pPr>
              <w:spacing w:line="360" w:lineRule="auto"/>
              <w:rPr>
                <w:rFonts w:ascii="宋体" w:hAnsi="宋体"/>
                <w:color w:val="auto"/>
                <w:sz w:val="24"/>
                <w:szCs w:val="22"/>
              </w:rPr>
            </w:pPr>
            <w:r>
              <w:rPr>
                <w:rFonts w:hint="eastAsia" w:ascii="宋体" w:hAnsi="宋体"/>
                <w:color w:val="auto"/>
                <w:sz w:val="24"/>
                <w:szCs w:val="22"/>
              </w:rPr>
              <w:t>项目名称：福建省宁德市汽车运输集团有限公司保险采购项目</w:t>
            </w:r>
          </w:p>
          <w:p>
            <w:pPr>
              <w:spacing w:line="360" w:lineRule="auto"/>
              <w:rPr>
                <w:rFonts w:ascii="宋体" w:hAnsi="宋体"/>
                <w:color w:val="auto"/>
                <w:sz w:val="24"/>
                <w:szCs w:val="22"/>
              </w:rPr>
            </w:pPr>
            <w:r>
              <w:rPr>
                <w:rFonts w:hint="eastAsia" w:ascii="宋体" w:hAnsi="宋体"/>
                <w:color w:val="auto"/>
                <w:sz w:val="24"/>
                <w:szCs w:val="22"/>
              </w:rPr>
              <w:t>采购人名称：福建省宁德市汽车运输集团有限公司</w:t>
            </w:r>
          </w:p>
          <w:p>
            <w:pPr>
              <w:pStyle w:val="20"/>
              <w:spacing w:line="360" w:lineRule="auto"/>
              <w:rPr>
                <w:rFonts w:hAnsi="宋体"/>
                <w:color w:val="auto"/>
                <w:sz w:val="24"/>
                <w:szCs w:val="24"/>
              </w:rPr>
            </w:pPr>
            <w:r>
              <w:rPr>
                <w:rFonts w:hint="eastAsia" w:hAnsi="宋体"/>
                <w:color w:val="auto"/>
                <w:sz w:val="24"/>
                <w:szCs w:val="24"/>
              </w:rPr>
              <w:t>项目内容：详见“招标货物（服务）一览表”</w:t>
            </w:r>
          </w:p>
          <w:p>
            <w:pPr>
              <w:spacing w:line="360" w:lineRule="auto"/>
              <w:rPr>
                <w:rFonts w:ascii="宋体" w:hAnsi="宋体"/>
                <w:color w:val="auto"/>
                <w:sz w:val="24"/>
              </w:rPr>
            </w:pPr>
            <w:r>
              <w:rPr>
                <w:rFonts w:hint="eastAsia" w:ascii="宋体" w:hAnsi="宋体"/>
                <w:color w:val="auto"/>
                <w:sz w:val="24"/>
              </w:rPr>
              <w:t>项目编号：NDHFZB-1220230329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80" w:type="dxa"/>
            <w:noWrap/>
            <w:vAlign w:val="center"/>
          </w:tcPr>
          <w:p>
            <w:pPr>
              <w:spacing w:line="360" w:lineRule="auto"/>
              <w:jc w:val="center"/>
              <w:rPr>
                <w:rFonts w:ascii="宋体" w:hAnsi="宋体"/>
                <w:color w:val="auto"/>
                <w:sz w:val="24"/>
              </w:rPr>
            </w:pPr>
            <w:r>
              <w:rPr>
                <w:rFonts w:ascii="宋体" w:hAnsi="宋体"/>
                <w:color w:val="auto"/>
                <w:sz w:val="24"/>
              </w:rPr>
              <w:t>2</w:t>
            </w:r>
          </w:p>
        </w:tc>
        <w:tc>
          <w:tcPr>
            <w:tcW w:w="741" w:type="dxa"/>
            <w:noWrap/>
            <w:vAlign w:val="center"/>
          </w:tcPr>
          <w:p>
            <w:pPr>
              <w:spacing w:line="360" w:lineRule="auto"/>
              <w:jc w:val="center"/>
              <w:rPr>
                <w:rFonts w:ascii="宋体" w:hAnsi="宋体"/>
                <w:color w:val="auto"/>
                <w:sz w:val="24"/>
              </w:rPr>
            </w:pPr>
            <w:r>
              <w:rPr>
                <w:rFonts w:ascii="宋体" w:hAnsi="宋体"/>
                <w:color w:val="auto"/>
                <w:sz w:val="24"/>
              </w:rPr>
              <w:t>3.</w:t>
            </w:r>
            <w:r>
              <w:rPr>
                <w:rFonts w:hint="eastAsia" w:ascii="宋体" w:hAnsi="宋体"/>
                <w:color w:val="auto"/>
                <w:sz w:val="24"/>
              </w:rPr>
              <w:t>1</w:t>
            </w:r>
          </w:p>
        </w:tc>
        <w:tc>
          <w:tcPr>
            <w:tcW w:w="7764" w:type="dxa"/>
            <w:noWrap/>
            <w:vAlign w:val="center"/>
          </w:tcPr>
          <w:p>
            <w:pPr>
              <w:spacing w:line="360" w:lineRule="auto"/>
              <w:rPr>
                <w:rFonts w:ascii="宋体" w:hAnsi="宋体"/>
                <w:b/>
                <w:color w:val="auto"/>
                <w:sz w:val="24"/>
                <w:shd w:val="pct10" w:color="auto" w:fill="FFFFFF"/>
              </w:rPr>
            </w:pPr>
            <w:r>
              <w:rPr>
                <w:rFonts w:hint="eastAsia" w:ascii="宋体" w:hAnsi="宋体"/>
                <w:b/>
                <w:color w:val="auto"/>
                <w:sz w:val="24"/>
                <w:shd w:val="pct10" w:color="auto" w:fill="FFFFFF"/>
              </w:rPr>
              <w:t>资格标准：</w:t>
            </w:r>
          </w:p>
          <w:p>
            <w:pPr>
              <w:spacing w:line="360" w:lineRule="auto"/>
              <w:ind w:firstLine="472" w:firstLineChars="196"/>
              <w:rPr>
                <w:rFonts w:ascii="宋体" w:hAnsi="宋体"/>
                <w:b/>
                <w:color w:val="auto"/>
                <w:sz w:val="24"/>
                <w:shd w:val="pct10" w:color="auto" w:fill="FFFFFF"/>
              </w:rPr>
            </w:pPr>
            <w:r>
              <w:rPr>
                <w:rFonts w:hint="eastAsia" w:ascii="宋体" w:hAnsi="宋体"/>
                <w:b/>
                <w:color w:val="auto"/>
                <w:sz w:val="24"/>
                <w:shd w:val="pct10" w:color="auto" w:fill="FFFFFF"/>
              </w:rPr>
              <w:t>1、投标人必须具备中国保险监督管理委员会批准开展本招标项目保险业务的资格，且设有经保监会批准的分支机构（分支机构只需提供分支机构材料），有能力</w:t>
            </w:r>
            <w:r>
              <w:rPr>
                <w:rFonts w:hint="eastAsia" w:ascii="宋体" w:hAnsi="宋体"/>
                <w:b/>
                <w:bCs/>
                <w:color w:val="auto"/>
                <w:sz w:val="24"/>
                <w:shd w:val="pct10" w:color="auto" w:fill="FFFFFF"/>
              </w:rPr>
              <w:t>提供招标服务的</w:t>
            </w:r>
            <w:r>
              <w:rPr>
                <w:rFonts w:hint="eastAsia" w:ascii="宋体" w:hAnsi="宋体"/>
                <w:b/>
                <w:color w:val="auto"/>
                <w:sz w:val="24"/>
                <w:shd w:val="pct10" w:color="auto" w:fill="FFFFFF"/>
              </w:rPr>
              <w:t>投标人</w:t>
            </w:r>
            <w:r>
              <w:rPr>
                <w:rFonts w:hint="eastAsia" w:ascii="宋体" w:hAnsi="宋体"/>
                <w:b/>
                <w:bCs/>
                <w:color w:val="auto"/>
                <w:sz w:val="24"/>
                <w:shd w:val="pct10" w:color="auto" w:fill="FFFFFF"/>
              </w:rPr>
              <w:t>均可能成为合格的中标人（总公司属于同一商业保险集团公司的，不能同时参加本项目投标）</w:t>
            </w:r>
            <w:r>
              <w:rPr>
                <w:rFonts w:hint="eastAsia" w:ascii="宋体" w:hAnsi="宋体"/>
                <w:b/>
                <w:color w:val="auto"/>
                <w:sz w:val="24"/>
                <w:shd w:val="pct10" w:color="auto" w:fill="FFFFFF"/>
              </w:rPr>
              <w:t>。需提交以下资质证明文件：</w:t>
            </w:r>
          </w:p>
          <w:p>
            <w:pPr>
              <w:spacing w:line="360" w:lineRule="auto"/>
              <w:ind w:firstLine="610" w:firstLineChars="253"/>
              <w:rPr>
                <w:rFonts w:ascii="宋体" w:hAnsi="宋体"/>
                <w:b/>
                <w:color w:val="auto"/>
                <w:sz w:val="24"/>
                <w:shd w:val="pct10" w:color="auto" w:fill="FFFFFF"/>
              </w:rPr>
            </w:pPr>
            <w:r>
              <w:rPr>
                <w:rFonts w:hint="eastAsia" w:ascii="宋体" w:hAnsi="宋体"/>
                <w:b/>
                <w:color w:val="auto"/>
                <w:sz w:val="24"/>
                <w:shd w:val="pct10" w:color="auto" w:fill="FFFFFF"/>
              </w:rPr>
              <w:t>（1）投标人的合格营业执照副本复印件；</w:t>
            </w:r>
          </w:p>
          <w:p>
            <w:pPr>
              <w:spacing w:line="360" w:lineRule="auto"/>
              <w:ind w:firstLine="610" w:firstLineChars="253"/>
              <w:rPr>
                <w:rFonts w:ascii="宋体" w:hAnsi="宋体"/>
                <w:b/>
                <w:color w:val="auto"/>
                <w:sz w:val="24"/>
                <w:shd w:val="pct10" w:color="auto" w:fill="FFFFFF"/>
              </w:rPr>
            </w:pPr>
            <w:r>
              <w:rPr>
                <w:rFonts w:hint="eastAsia" w:ascii="宋体" w:hAnsi="宋体"/>
                <w:b/>
                <w:color w:val="auto"/>
                <w:sz w:val="24"/>
                <w:shd w:val="pct10" w:color="auto" w:fill="FFFFFF"/>
              </w:rPr>
              <w:t>（2）法定代表人/负责人</w:t>
            </w:r>
            <w:r>
              <w:rPr>
                <w:rFonts w:ascii="宋体" w:hAnsi="宋体"/>
                <w:b/>
                <w:color w:val="auto"/>
                <w:sz w:val="24"/>
                <w:shd w:val="pct10" w:color="auto" w:fill="FFFFFF"/>
              </w:rPr>
              <w:t>身份证</w:t>
            </w:r>
            <w:r>
              <w:rPr>
                <w:rFonts w:hint="eastAsia" w:ascii="宋体" w:hAnsi="宋体"/>
                <w:b/>
                <w:color w:val="auto"/>
                <w:sz w:val="24"/>
                <w:shd w:val="pct10" w:color="auto" w:fill="FFFFFF"/>
              </w:rPr>
              <w:t>（正反面的</w:t>
            </w:r>
            <w:r>
              <w:rPr>
                <w:rFonts w:ascii="宋体" w:hAnsi="宋体"/>
                <w:b/>
                <w:color w:val="auto"/>
                <w:sz w:val="24"/>
                <w:shd w:val="pct10" w:color="auto" w:fill="FFFFFF"/>
              </w:rPr>
              <w:t>复印件</w:t>
            </w:r>
            <w:r>
              <w:rPr>
                <w:rFonts w:hint="eastAsia" w:ascii="宋体" w:hAnsi="宋体"/>
                <w:b/>
                <w:color w:val="auto"/>
                <w:sz w:val="24"/>
                <w:shd w:val="pct10" w:color="auto" w:fill="FFFFFF"/>
              </w:rPr>
              <w:t>）</w:t>
            </w:r>
            <w:r>
              <w:rPr>
                <w:rFonts w:ascii="宋体" w:hAnsi="宋体"/>
                <w:b/>
                <w:color w:val="auto"/>
                <w:sz w:val="24"/>
                <w:shd w:val="pct10" w:color="auto" w:fill="FFFFFF"/>
              </w:rPr>
              <w:t>；</w:t>
            </w:r>
          </w:p>
          <w:p>
            <w:pPr>
              <w:spacing w:line="360" w:lineRule="auto"/>
              <w:ind w:firstLine="610" w:firstLineChars="253"/>
              <w:rPr>
                <w:rFonts w:ascii="宋体" w:hAnsi="宋体"/>
                <w:b/>
                <w:color w:val="auto"/>
                <w:sz w:val="24"/>
                <w:shd w:val="pct10" w:color="auto" w:fill="FFFFFF"/>
              </w:rPr>
            </w:pPr>
            <w:r>
              <w:rPr>
                <w:rFonts w:hint="eastAsia" w:ascii="宋体" w:hAnsi="宋体"/>
                <w:b/>
                <w:color w:val="auto"/>
                <w:sz w:val="24"/>
                <w:shd w:val="pct10" w:color="auto" w:fill="FFFFFF"/>
              </w:rPr>
              <w:t>（3）供应商代表</w:t>
            </w:r>
            <w:r>
              <w:rPr>
                <w:rFonts w:ascii="宋体" w:hAnsi="宋体"/>
                <w:b/>
                <w:color w:val="auto"/>
                <w:sz w:val="24"/>
                <w:shd w:val="pct10" w:color="auto" w:fill="FFFFFF"/>
              </w:rPr>
              <w:t>身份证</w:t>
            </w:r>
            <w:r>
              <w:rPr>
                <w:rFonts w:hint="eastAsia" w:ascii="宋体" w:hAnsi="宋体"/>
                <w:b/>
                <w:color w:val="auto"/>
                <w:sz w:val="24"/>
                <w:shd w:val="pct10" w:color="auto" w:fill="FFFFFF"/>
              </w:rPr>
              <w:t>（正反面的</w:t>
            </w:r>
            <w:r>
              <w:rPr>
                <w:rFonts w:ascii="宋体" w:hAnsi="宋体"/>
                <w:b/>
                <w:color w:val="auto"/>
                <w:sz w:val="24"/>
                <w:shd w:val="pct10" w:color="auto" w:fill="FFFFFF"/>
              </w:rPr>
              <w:t>复印件</w:t>
            </w:r>
            <w:r>
              <w:rPr>
                <w:rFonts w:hint="eastAsia" w:ascii="宋体" w:hAnsi="宋体"/>
                <w:b/>
                <w:color w:val="auto"/>
                <w:sz w:val="24"/>
                <w:shd w:val="pct10" w:color="auto" w:fill="FFFFFF"/>
              </w:rPr>
              <w:t>）</w:t>
            </w:r>
            <w:r>
              <w:rPr>
                <w:rFonts w:ascii="宋体" w:hAnsi="宋体"/>
                <w:b/>
                <w:color w:val="auto"/>
                <w:sz w:val="24"/>
                <w:shd w:val="pct10" w:color="auto" w:fill="FFFFFF"/>
              </w:rPr>
              <w:t>；</w:t>
            </w:r>
          </w:p>
          <w:p>
            <w:pPr>
              <w:spacing w:line="360" w:lineRule="auto"/>
              <w:ind w:firstLine="610" w:firstLineChars="253"/>
              <w:rPr>
                <w:rFonts w:ascii="宋体" w:hAnsi="宋体"/>
                <w:b/>
                <w:color w:val="auto"/>
                <w:sz w:val="24"/>
                <w:shd w:val="pct10" w:color="auto" w:fill="FFFFFF"/>
              </w:rPr>
            </w:pPr>
            <w:r>
              <w:rPr>
                <w:rFonts w:hint="eastAsia" w:ascii="宋体" w:hAnsi="宋体"/>
                <w:b/>
                <w:color w:val="auto"/>
                <w:sz w:val="24"/>
                <w:shd w:val="pct10" w:color="auto" w:fill="FFFFFF"/>
              </w:rPr>
              <w:t>（4）法定代表人/负责人授权书原件(格式详见第五章“响应文件格式”，供应商代表是法定代表人/负责人无需)；</w:t>
            </w:r>
          </w:p>
          <w:p>
            <w:pPr>
              <w:snapToGrid w:val="0"/>
              <w:spacing w:line="360" w:lineRule="auto"/>
              <w:ind w:firstLine="472" w:firstLineChars="196"/>
              <w:rPr>
                <w:rFonts w:ascii="宋体" w:hAnsi="宋体"/>
                <w:b/>
                <w:color w:val="auto"/>
                <w:sz w:val="24"/>
                <w:shd w:val="pct10" w:color="auto" w:fill="FFFFFF"/>
              </w:rPr>
            </w:pPr>
            <w:r>
              <w:rPr>
                <w:rFonts w:hint="eastAsia" w:ascii="宋体" w:hAnsi="宋体"/>
                <w:b/>
                <w:bCs/>
                <w:color w:val="auto"/>
                <w:sz w:val="24"/>
                <w:shd w:val="pct10" w:color="auto" w:fill="FFFFFF"/>
              </w:rPr>
              <w:t>2</w:t>
            </w:r>
            <w:r>
              <w:rPr>
                <w:rFonts w:hint="eastAsia" w:ascii="宋体" w:hAnsi="宋体"/>
                <w:b/>
                <w:color w:val="auto"/>
                <w:sz w:val="24"/>
                <w:shd w:val="pct10" w:color="auto" w:fill="FFFFFF"/>
              </w:rPr>
              <w:t>、投标人对近三年（2020年1月1日至2022年12月31日）无行贿犯罪记录进行声明(格式自拟)，原件须附在技术商务部分正本中，副本附复印件；</w:t>
            </w:r>
          </w:p>
          <w:p>
            <w:pPr>
              <w:spacing w:line="360" w:lineRule="auto"/>
              <w:ind w:firstLine="472" w:firstLineChars="196"/>
              <w:rPr>
                <w:rFonts w:ascii="宋体" w:hAnsi="宋体"/>
                <w:b/>
                <w:color w:val="auto"/>
                <w:sz w:val="24"/>
                <w:shd w:val="pct10" w:color="auto" w:fill="FFFFFF"/>
              </w:rPr>
            </w:pPr>
            <w:r>
              <w:rPr>
                <w:rFonts w:hint="eastAsia" w:ascii="宋体" w:hAnsi="宋体"/>
                <w:b/>
                <w:color w:val="auto"/>
                <w:sz w:val="24"/>
                <w:shd w:val="pct10" w:color="auto" w:fill="FFFFFF"/>
              </w:rPr>
              <w:t>3、投标人需提供财务状况报告，依法缴纳税收和社会保障资金的相关材料：</w:t>
            </w:r>
          </w:p>
          <w:p>
            <w:pPr>
              <w:spacing w:line="360" w:lineRule="auto"/>
              <w:ind w:firstLine="472" w:firstLineChars="196"/>
              <w:rPr>
                <w:rFonts w:ascii="宋体" w:hAnsi="宋体" w:cs="宋体"/>
                <w:b/>
                <w:color w:val="auto"/>
                <w:sz w:val="24"/>
                <w:shd w:val="pct10" w:color="auto" w:fill="FFFFFF"/>
              </w:rPr>
            </w:pPr>
            <w:r>
              <w:rPr>
                <w:rFonts w:hint="eastAsia" w:ascii="宋体" w:hAnsi="宋体" w:cs="宋体"/>
                <w:b/>
                <w:color w:val="auto"/>
                <w:sz w:val="24"/>
                <w:shd w:val="pct10" w:color="auto" w:fill="FFFFFF"/>
              </w:rPr>
              <w:t>①财务状况报告：</w:t>
            </w:r>
            <w:r>
              <w:rPr>
                <w:rFonts w:hint="eastAsia" w:ascii="宋体" w:hAnsi="宋体" w:cs="宋体"/>
                <w:b/>
                <w:bCs/>
                <w:color w:val="auto"/>
                <w:sz w:val="24"/>
                <w:shd w:val="pct10" w:color="auto" w:fill="FFFFFF"/>
              </w:rPr>
              <w:t>2021年度或2022年度的资产负债表、利润表、现金流量表或其基本开户银行出具的资信证明；</w:t>
            </w:r>
          </w:p>
          <w:p>
            <w:pPr>
              <w:spacing w:line="360" w:lineRule="auto"/>
              <w:ind w:firstLine="472" w:firstLineChars="196"/>
              <w:rPr>
                <w:rFonts w:ascii="宋体" w:hAnsi="宋体" w:cs="宋体"/>
                <w:b/>
                <w:color w:val="auto"/>
                <w:sz w:val="24"/>
                <w:shd w:val="pct10" w:color="auto" w:fill="FFFFFF"/>
              </w:rPr>
            </w:pPr>
            <w:r>
              <w:rPr>
                <w:rFonts w:hint="eastAsia" w:ascii="宋体" w:hAnsi="宋体" w:cs="宋体"/>
                <w:b/>
                <w:color w:val="auto"/>
                <w:sz w:val="24"/>
                <w:shd w:val="pct10" w:color="auto" w:fill="FFFFFF"/>
              </w:rPr>
              <w:t>②依法缴纳税收: 提供投标截止时间前六个月（不含投标截止时间的当月）中已依法缴纳税收的供应商任意一个月的缴纳税收的证明材料或者提供依法免税的相应证明文件或者提供无欠税的相应证明文件；</w:t>
            </w:r>
          </w:p>
          <w:p>
            <w:pPr>
              <w:pStyle w:val="195"/>
              <w:ind w:firstLine="472" w:firstLineChars="196"/>
              <w:rPr>
                <w:rFonts w:ascii="宋体" w:hAnsi="宋体" w:cs="Times New Roman"/>
                <w:b/>
                <w:color w:val="auto"/>
                <w:sz w:val="24"/>
                <w:shd w:val="pct10" w:color="auto" w:fill="FFFFFF"/>
              </w:rPr>
            </w:pPr>
            <w:r>
              <w:rPr>
                <w:rFonts w:hint="eastAsia" w:ascii="宋体" w:hAnsi="宋体"/>
                <w:b/>
                <w:color w:val="auto"/>
                <w:sz w:val="24"/>
                <w:shd w:val="pct10" w:color="auto" w:fill="FFFFFF"/>
              </w:rPr>
              <w:t>③社会保障资金的相关材料: 提供投标截止时间前六个月（不含投标截止时间的当月）中已依法缴纳税收的投标人任意一个月的缴交社会保障资金证明材料；</w:t>
            </w:r>
          </w:p>
          <w:p>
            <w:pPr>
              <w:pStyle w:val="195"/>
              <w:numPr>
                <w:ilvl w:val="0"/>
                <w:numId w:val="5"/>
              </w:numPr>
              <w:ind w:firstLine="472" w:firstLineChars="196"/>
              <w:rPr>
                <w:rFonts w:ascii="宋体" w:hAnsi="宋体" w:cs="Times New Roman"/>
                <w:b/>
                <w:color w:val="auto"/>
                <w:sz w:val="24"/>
                <w:shd w:val="pct10" w:color="auto" w:fill="FFFFFF"/>
              </w:rPr>
            </w:pPr>
            <w:r>
              <w:rPr>
                <w:rFonts w:hint="eastAsia" w:ascii="宋体" w:hAnsi="宋体" w:cs="Times New Roman"/>
                <w:b/>
                <w:color w:val="auto"/>
                <w:sz w:val="24"/>
                <w:shd w:val="pct10" w:color="auto" w:fill="FFFFFF"/>
              </w:rPr>
              <w:t>投标人</w:t>
            </w:r>
            <w:r>
              <w:rPr>
                <w:rFonts w:hint="eastAsia" w:ascii="宋体" w:hAnsi="宋体"/>
                <w:b/>
                <w:color w:val="auto"/>
                <w:sz w:val="24"/>
                <w:shd w:val="pct10" w:color="auto" w:fill="FFFFFF"/>
              </w:rPr>
              <w:t>需提供具备履行合同所必需设备和专业技术能力</w:t>
            </w:r>
            <w:r>
              <w:rPr>
                <w:rFonts w:hint="eastAsia" w:ascii="宋体" w:hAnsi="宋体" w:cs="Times New Roman"/>
                <w:b/>
                <w:color w:val="auto"/>
                <w:sz w:val="24"/>
                <w:shd w:val="pct10" w:color="auto" w:fill="FFFFFF"/>
              </w:rPr>
              <w:t>的证明材料:</w:t>
            </w:r>
          </w:p>
          <w:p>
            <w:pPr>
              <w:pStyle w:val="195"/>
              <w:ind w:firstLine="482"/>
              <w:rPr>
                <w:rFonts w:ascii="宋体" w:hAnsi="宋体" w:cs="Times New Roman"/>
                <w:b/>
                <w:color w:val="auto"/>
                <w:sz w:val="24"/>
                <w:shd w:val="pct10" w:color="auto" w:fill="FFFFFF"/>
              </w:rPr>
            </w:pPr>
            <w:r>
              <w:rPr>
                <w:rFonts w:hint="eastAsia" w:ascii="宋体" w:hAnsi="宋体" w:cs="Times New Roman"/>
                <w:b/>
                <w:color w:val="auto"/>
                <w:sz w:val="24"/>
                <w:shd w:val="pct10" w:color="auto" w:fill="FFFFFF"/>
              </w:rPr>
              <w:t>①具备履行合同所必需的设备：供应商提供办公场所的场地证明材料（属于自有产权的提供产权证复印件；非自有产权的提供场地租赁合同复印件，租赁期限不少于一年）；</w:t>
            </w:r>
          </w:p>
          <w:p>
            <w:pPr>
              <w:spacing w:line="360" w:lineRule="auto"/>
              <w:ind w:firstLine="472" w:firstLineChars="196"/>
              <w:jc w:val="left"/>
              <w:rPr>
                <w:rFonts w:ascii="宋体" w:hAnsi="宋体"/>
                <w:b/>
                <w:color w:val="auto"/>
                <w:sz w:val="24"/>
                <w:szCs w:val="24"/>
                <w:shd w:val="pct10" w:color="auto" w:fill="FFFFFF"/>
              </w:rPr>
            </w:pPr>
            <w:r>
              <w:rPr>
                <w:rFonts w:hint="eastAsia" w:ascii="宋体" w:hAnsi="宋体"/>
                <w:b/>
                <w:color w:val="auto"/>
                <w:sz w:val="24"/>
                <w:shd w:val="pct10" w:color="auto" w:fill="FFFFFF"/>
              </w:rPr>
              <w:t>②具备专业技术能力：提供负责本项目的主要人员的名单、联系电话及人员相关证书；</w:t>
            </w:r>
          </w:p>
          <w:p>
            <w:pPr>
              <w:numPr>
                <w:ilvl w:val="0"/>
                <w:numId w:val="5"/>
              </w:numPr>
              <w:spacing w:line="360" w:lineRule="auto"/>
              <w:ind w:firstLine="472" w:firstLineChars="196"/>
              <w:jc w:val="left"/>
              <w:rPr>
                <w:rFonts w:ascii="宋体" w:hAnsi="宋体"/>
                <w:b/>
                <w:color w:val="auto"/>
                <w:sz w:val="24"/>
                <w:szCs w:val="24"/>
                <w:shd w:val="pct10" w:color="auto" w:fill="FFFFFF"/>
              </w:rPr>
            </w:pPr>
            <w:r>
              <w:rPr>
                <w:rFonts w:hint="eastAsia" w:ascii="宋体" w:hAnsi="宋体"/>
                <w:b/>
                <w:color w:val="auto"/>
                <w:sz w:val="24"/>
                <w:szCs w:val="24"/>
                <w:shd w:val="pct10" w:color="auto" w:fill="FFFFFF"/>
              </w:rPr>
              <w:t>投标人需提供参加政府采购活动前3年内</w:t>
            </w:r>
            <w:r>
              <w:rPr>
                <w:rFonts w:hint="eastAsia" w:ascii="宋体" w:hAnsi="宋体"/>
                <w:b/>
                <w:color w:val="auto"/>
                <w:sz w:val="24"/>
                <w:shd w:val="pct10" w:color="auto" w:fill="FFFFFF"/>
              </w:rPr>
              <w:t>（2020年1月1日至2022年12月31日）</w:t>
            </w:r>
            <w:r>
              <w:rPr>
                <w:rFonts w:hint="eastAsia" w:ascii="宋体" w:hAnsi="宋体"/>
                <w:b/>
                <w:color w:val="auto"/>
                <w:sz w:val="24"/>
                <w:szCs w:val="24"/>
                <w:shd w:val="pct10" w:color="auto" w:fill="FFFFFF"/>
              </w:rPr>
              <w:t>在经营活动中没有重大违法记录的书面声明（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和由资格审查小组通过“信用中国”网站（www.creditchina.gov.cn）、中国政府采购网（www.cc gp.gov.cn）查询并打印投标人信用记录（以下简称：“资格审查小组的查询结果”）。若查询结果存在投标人应被拒绝参与政府采购活动相关信息的，其资格审查不合格。因上述网站原因导致谈判小组无法查询投标人信用记录的（资格审查小组应将通过上述网站查询投标人信用记录时的原始页面打印后随采购文件一并存档），视为查询结果未存在投标人应被拒绝参与政府采购活动相关的信息。</w:t>
            </w:r>
          </w:p>
          <w:p>
            <w:pPr>
              <w:spacing w:line="360" w:lineRule="auto"/>
              <w:ind w:firstLine="482" w:firstLineChars="200"/>
              <w:rPr>
                <w:color w:val="auto"/>
              </w:rPr>
            </w:pPr>
            <w:r>
              <w:rPr>
                <w:rFonts w:hint="eastAsia" w:ascii="宋体" w:hAnsi="宋体"/>
                <w:b/>
                <w:color w:val="auto"/>
                <w:sz w:val="24"/>
                <w:shd w:val="pct10" w:color="auto" w:fill="FFFFFF"/>
              </w:rPr>
              <w:t>6、</w:t>
            </w:r>
            <w:r>
              <w:rPr>
                <w:rFonts w:hint="eastAsia" w:ascii="宋体" w:hAnsi="宋体"/>
                <w:b/>
                <w:color w:val="auto"/>
                <w:sz w:val="24"/>
                <w:szCs w:val="24"/>
                <w:shd w:val="pct10" w:color="auto" w:fill="FFFFFF"/>
              </w:rPr>
              <w:t>投标人</w:t>
            </w:r>
            <w:r>
              <w:rPr>
                <w:rFonts w:hint="eastAsia" w:ascii="宋体" w:hAnsi="宋体"/>
                <w:b/>
                <w:color w:val="auto"/>
                <w:sz w:val="24"/>
                <w:shd w:val="pct10" w:color="auto" w:fill="FFFFFF"/>
              </w:rPr>
              <w:t>具有《经营保险业务许可证》，其业务范围必须包括经中国保监会核定的经营车辆保险业务，须提供《经营保险业务许可证》复印件；</w:t>
            </w:r>
          </w:p>
          <w:p>
            <w:pPr>
              <w:spacing w:line="360" w:lineRule="auto"/>
              <w:ind w:firstLine="472" w:firstLineChars="196"/>
              <w:jc w:val="left"/>
              <w:rPr>
                <w:rFonts w:ascii="宋体" w:hAnsi="宋体"/>
                <w:b/>
                <w:color w:val="auto"/>
                <w:sz w:val="24"/>
                <w:szCs w:val="24"/>
                <w:shd w:val="pct10" w:color="auto" w:fill="FFFFFF"/>
              </w:rPr>
            </w:pPr>
            <w:r>
              <w:rPr>
                <w:rFonts w:hint="eastAsia" w:ascii="宋体" w:hAnsi="宋体"/>
                <w:b/>
                <w:color w:val="auto"/>
                <w:sz w:val="24"/>
                <w:szCs w:val="24"/>
                <w:shd w:val="pct10" w:color="auto" w:fill="FFFFFF"/>
              </w:rPr>
              <w:t>7、本项目不接受联合体投标。</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8、其他详见第二章《投标人须知》中第一部分“说明”中的第3条款。</w:t>
            </w:r>
          </w:p>
          <w:p>
            <w:pPr>
              <w:spacing w:line="360" w:lineRule="auto"/>
              <w:ind w:firstLine="472" w:firstLineChars="196"/>
              <w:rPr>
                <w:rFonts w:ascii="宋体" w:hAnsi="宋体"/>
                <w:b/>
                <w:color w:val="auto"/>
                <w:sz w:val="24"/>
              </w:rPr>
            </w:pPr>
            <w:r>
              <w:rPr>
                <w:rFonts w:hint="eastAsia" w:ascii="宋体" w:hAnsi="宋体"/>
                <w:b/>
                <w:color w:val="auto"/>
                <w:sz w:val="24"/>
                <w:szCs w:val="24"/>
              </w:rPr>
              <w:t>注：以上相关资质证明文件应属法定有效期内的，若发生变更的，应按有关规定办理完变更手续后方可参加投标，并以发证机关核准的变更为准，否则按无效投标处理。其复印件应是清晰的并加盖投标人公章。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80" w:type="dxa"/>
            <w:noWrap/>
            <w:vAlign w:val="center"/>
          </w:tcPr>
          <w:p>
            <w:pPr>
              <w:spacing w:line="360" w:lineRule="auto"/>
              <w:jc w:val="center"/>
              <w:rPr>
                <w:rFonts w:ascii="宋体" w:hAnsi="宋体"/>
                <w:color w:val="auto"/>
                <w:sz w:val="24"/>
              </w:rPr>
            </w:pPr>
            <w:r>
              <w:rPr>
                <w:rFonts w:ascii="宋体" w:hAnsi="宋体"/>
                <w:color w:val="auto"/>
                <w:sz w:val="24"/>
              </w:rPr>
              <w:t>3</w:t>
            </w:r>
          </w:p>
        </w:tc>
        <w:tc>
          <w:tcPr>
            <w:tcW w:w="741" w:type="dxa"/>
            <w:noWrap/>
            <w:vAlign w:val="center"/>
          </w:tcPr>
          <w:p>
            <w:pPr>
              <w:spacing w:line="360" w:lineRule="auto"/>
              <w:jc w:val="center"/>
              <w:rPr>
                <w:rFonts w:ascii="宋体" w:hAnsi="宋体"/>
                <w:color w:val="auto"/>
                <w:sz w:val="24"/>
              </w:rPr>
            </w:pPr>
            <w:r>
              <w:rPr>
                <w:rFonts w:hint="eastAsia" w:ascii="宋体" w:hAnsi="宋体"/>
                <w:color w:val="auto"/>
                <w:sz w:val="24"/>
              </w:rPr>
              <w:t>11.1</w:t>
            </w:r>
          </w:p>
        </w:tc>
        <w:tc>
          <w:tcPr>
            <w:tcW w:w="7764" w:type="dxa"/>
            <w:noWrap/>
            <w:vAlign w:val="center"/>
          </w:tcPr>
          <w:p>
            <w:pPr>
              <w:spacing w:line="360" w:lineRule="auto"/>
              <w:rPr>
                <w:rFonts w:ascii="宋体" w:hAnsi="宋体"/>
                <w:color w:val="auto"/>
                <w:sz w:val="24"/>
              </w:rPr>
            </w:pPr>
            <w:r>
              <w:rPr>
                <w:rFonts w:hint="eastAsia" w:ascii="宋体" w:hAnsi="宋体"/>
                <w:color w:val="auto"/>
                <w:sz w:val="24"/>
              </w:rPr>
              <w:t>投标有效期：投标截止期结束后</w:t>
            </w:r>
            <w:r>
              <w:rPr>
                <w:rFonts w:hint="eastAsia" w:ascii="宋体" w:hAnsi="宋体"/>
                <w:color w:val="auto"/>
                <w:sz w:val="24"/>
                <w:u w:val="single"/>
              </w:rPr>
              <w:t xml:space="preserve"> 90 </w:t>
            </w:r>
            <w:r>
              <w:rPr>
                <w:rFonts w:hint="eastAsia" w:ascii="宋体" w:hAnsi="宋体"/>
                <w:color w:val="auto"/>
                <w:sz w:val="24"/>
              </w:rPr>
              <w:t>日历日。</w:t>
            </w:r>
          </w:p>
          <w:p>
            <w:pPr>
              <w:spacing w:line="360" w:lineRule="auto"/>
              <w:rPr>
                <w:rFonts w:ascii="宋体" w:hAnsi="宋体"/>
                <w:color w:val="auto"/>
                <w:sz w:val="24"/>
              </w:rPr>
            </w:pPr>
            <w:r>
              <w:rPr>
                <w:rFonts w:hint="eastAsia" w:ascii="宋体" w:hAnsi="宋体"/>
                <w:color w:val="auto"/>
                <w:sz w:val="24"/>
              </w:rPr>
              <w:t>有效期不足将导致其投标文件被拒绝。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0" w:type="dxa"/>
            <w:noWrap/>
            <w:vAlign w:val="center"/>
          </w:tcPr>
          <w:p>
            <w:pPr>
              <w:spacing w:line="360" w:lineRule="auto"/>
              <w:jc w:val="center"/>
              <w:rPr>
                <w:rFonts w:ascii="宋体" w:hAnsi="宋体"/>
                <w:color w:val="auto"/>
                <w:sz w:val="24"/>
              </w:rPr>
            </w:pPr>
            <w:r>
              <w:rPr>
                <w:rFonts w:ascii="宋体" w:hAnsi="宋体"/>
                <w:color w:val="auto"/>
                <w:sz w:val="24"/>
              </w:rPr>
              <w:t>4</w:t>
            </w:r>
          </w:p>
        </w:tc>
        <w:tc>
          <w:tcPr>
            <w:tcW w:w="741" w:type="dxa"/>
            <w:noWrap/>
            <w:vAlign w:val="center"/>
          </w:tcPr>
          <w:p>
            <w:pPr>
              <w:spacing w:line="360" w:lineRule="auto"/>
              <w:jc w:val="center"/>
              <w:rPr>
                <w:rFonts w:ascii="宋体" w:hAnsi="宋体"/>
                <w:color w:val="auto"/>
                <w:sz w:val="24"/>
              </w:rPr>
            </w:pPr>
            <w:r>
              <w:rPr>
                <w:rFonts w:hint="eastAsia" w:ascii="宋体" w:hAnsi="宋体"/>
                <w:color w:val="auto"/>
                <w:sz w:val="24"/>
              </w:rPr>
              <w:t>/</w:t>
            </w:r>
          </w:p>
        </w:tc>
        <w:tc>
          <w:tcPr>
            <w:tcW w:w="7764" w:type="dxa"/>
            <w:noWrap/>
            <w:vAlign w:val="center"/>
          </w:tcPr>
          <w:p>
            <w:pPr>
              <w:spacing w:line="360" w:lineRule="auto"/>
              <w:ind w:left="2160" w:hanging="2160" w:hangingChars="900"/>
              <w:rPr>
                <w:rFonts w:ascii="宋体" w:hAnsi="宋体"/>
                <w:color w:val="auto"/>
                <w:sz w:val="24"/>
              </w:rPr>
            </w:pPr>
            <w:r>
              <w:rPr>
                <w:rFonts w:hint="eastAsia" w:ascii="宋体" w:hAnsi="宋体"/>
                <w:color w:val="auto"/>
                <w:sz w:val="24"/>
              </w:rPr>
              <w:t>投标文件递交地址：宁德市东侨经济开发区东湖御景10号楼803室</w:t>
            </w:r>
          </w:p>
          <w:p>
            <w:pPr>
              <w:spacing w:line="360" w:lineRule="auto"/>
              <w:rPr>
                <w:rFonts w:ascii="宋体" w:hAnsi="宋体"/>
                <w:color w:val="auto"/>
                <w:sz w:val="24"/>
              </w:rPr>
            </w:pPr>
            <w:r>
              <w:rPr>
                <w:rFonts w:hint="eastAsia" w:ascii="宋体" w:hAnsi="宋体"/>
                <w:color w:val="auto"/>
                <w:sz w:val="24"/>
              </w:rPr>
              <w:t>接收人：宁德市恒福招标有限公司</w:t>
            </w:r>
          </w:p>
          <w:p>
            <w:pPr>
              <w:spacing w:line="360" w:lineRule="auto"/>
              <w:rPr>
                <w:rFonts w:ascii="宋体" w:hAnsi="宋体"/>
                <w:color w:val="auto"/>
                <w:sz w:val="24"/>
              </w:rPr>
            </w:pPr>
            <w:r>
              <w:rPr>
                <w:rFonts w:hint="eastAsia" w:ascii="宋体" w:hAnsi="宋体"/>
                <w:color w:val="auto"/>
                <w:sz w:val="24"/>
              </w:rPr>
              <w:t>投标截止时间：</w:t>
            </w:r>
            <w:r>
              <w:rPr>
                <w:rFonts w:hint="eastAsia" w:ascii="宋体" w:hAnsi="宋体"/>
                <w:color w:val="auto"/>
                <w:sz w:val="24"/>
                <w:u w:val="single"/>
              </w:rPr>
              <w:t>2023年   月   日上午09：00（北京时间）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0" w:type="dxa"/>
            <w:noWrap/>
            <w:vAlign w:val="center"/>
          </w:tcPr>
          <w:p>
            <w:pPr>
              <w:spacing w:line="360" w:lineRule="auto"/>
              <w:jc w:val="center"/>
              <w:rPr>
                <w:rFonts w:ascii="宋体" w:hAnsi="宋体"/>
                <w:color w:val="auto"/>
                <w:sz w:val="24"/>
              </w:rPr>
            </w:pPr>
            <w:r>
              <w:rPr>
                <w:rFonts w:hint="eastAsia" w:ascii="宋体" w:hAnsi="宋体"/>
                <w:color w:val="auto"/>
                <w:sz w:val="24"/>
              </w:rPr>
              <w:t>5</w:t>
            </w:r>
          </w:p>
        </w:tc>
        <w:tc>
          <w:tcPr>
            <w:tcW w:w="741" w:type="dxa"/>
            <w:noWrap/>
            <w:vAlign w:val="center"/>
          </w:tcPr>
          <w:p>
            <w:pPr>
              <w:spacing w:line="360" w:lineRule="auto"/>
              <w:jc w:val="center"/>
              <w:rPr>
                <w:rFonts w:ascii="宋体" w:hAnsi="宋体"/>
                <w:color w:val="auto"/>
                <w:sz w:val="24"/>
              </w:rPr>
            </w:pPr>
            <w:r>
              <w:rPr>
                <w:rFonts w:hint="eastAsia" w:ascii="宋体" w:hAnsi="宋体"/>
                <w:color w:val="auto"/>
                <w:sz w:val="24"/>
              </w:rPr>
              <w:t>12</w:t>
            </w:r>
          </w:p>
        </w:tc>
        <w:tc>
          <w:tcPr>
            <w:tcW w:w="7764" w:type="dxa"/>
            <w:noWrap/>
            <w:vAlign w:val="center"/>
          </w:tcPr>
          <w:p>
            <w:pPr>
              <w:spacing w:line="360" w:lineRule="auto"/>
              <w:ind w:firstLine="354" w:firstLineChars="147"/>
              <w:jc w:val="left"/>
              <w:rPr>
                <w:rFonts w:ascii="宋体" w:hAnsi="宋体"/>
                <w:b/>
                <w:color w:val="auto"/>
                <w:sz w:val="24"/>
              </w:rPr>
            </w:pPr>
            <w:r>
              <w:rPr>
                <w:rFonts w:hint="eastAsia" w:ascii="宋体" w:hAnsi="宋体"/>
                <w:b/>
                <w:color w:val="auto"/>
                <w:sz w:val="24"/>
                <w:shd w:val="pct10" w:color="auto" w:fill="FFFFFF"/>
              </w:rPr>
              <w:t>投标保证金:合同包1投标保证金</w:t>
            </w:r>
            <w:r>
              <w:rPr>
                <w:rFonts w:hint="eastAsia" w:ascii="宋体" w:hAnsi="宋体"/>
                <w:b/>
                <w:color w:val="auto"/>
                <w:sz w:val="24"/>
                <w:szCs w:val="22"/>
                <w:shd w:val="pct10" w:color="auto" w:fill="FFFFFF"/>
              </w:rPr>
              <w:t>为人民币壹拾万元整（￥10万元）</w:t>
            </w:r>
            <w:r>
              <w:rPr>
                <w:rFonts w:hint="eastAsia" w:ascii="宋体" w:hAnsi="宋体"/>
                <w:b/>
                <w:color w:val="auto"/>
                <w:sz w:val="24"/>
                <w:shd w:val="pct10" w:color="auto" w:fill="FFFFFF"/>
              </w:rPr>
              <w:t>；合同包2投标保证金</w:t>
            </w:r>
            <w:r>
              <w:rPr>
                <w:rFonts w:hint="eastAsia" w:ascii="宋体" w:hAnsi="宋体"/>
                <w:b/>
                <w:color w:val="auto"/>
                <w:sz w:val="24"/>
                <w:szCs w:val="22"/>
                <w:shd w:val="pct10" w:color="auto" w:fill="FFFFFF"/>
              </w:rPr>
              <w:t>为人民币壹拾万元整（￥10万元）</w:t>
            </w:r>
            <w:r>
              <w:rPr>
                <w:rFonts w:hint="eastAsia" w:ascii="宋体" w:hAnsi="宋体"/>
                <w:b/>
                <w:color w:val="auto"/>
                <w:sz w:val="24"/>
                <w:shd w:val="pct10" w:color="auto" w:fill="FFFFFF"/>
              </w:rPr>
              <w:t>；</w:t>
            </w:r>
            <w:r>
              <w:rPr>
                <w:rFonts w:hint="eastAsia" w:ascii="宋体" w:hAnsi="宋体" w:cs="宋体"/>
                <w:b/>
                <w:color w:val="auto"/>
                <w:sz w:val="24"/>
                <w:shd w:val="pct10" w:color="auto" w:fill="FFFFFF"/>
              </w:rPr>
              <w:t>投标人</w:t>
            </w:r>
            <w:r>
              <w:rPr>
                <w:rFonts w:hint="eastAsia" w:ascii="宋体" w:hAnsi="宋体"/>
                <w:b/>
                <w:color w:val="auto"/>
                <w:sz w:val="24"/>
                <w:shd w:val="pct10" w:color="auto" w:fill="FFFFFF"/>
              </w:rPr>
              <w:t>应以电汇、转帐等</w:t>
            </w:r>
            <w:r>
              <w:rPr>
                <w:rFonts w:hint="eastAsia" w:ascii="宋体" w:hAnsi="宋体"/>
                <w:b/>
                <w:bCs/>
                <w:color w:val="auto"/>
                <w:sz w:val="24"/>
                <w:shd w:val="pct10" w:color="auto" w:fill="FFFFFF"/>
              </w:rPr>
              <w:t>非现金</w:t>
            </w:r>
            <w:r>
              <w:rPr>
                <w:rFonts w:hint="eastAsia" w:ascii="宋体" w:hAnsi="宋体"/>
                <w:b/>
                <w:color w:val="auto"/>
                <w:sz w:val="24"/>
                <w:shd w:val="pct10" w:color="auto" w:fill="FFFFFF"/>
              </w:rPr>
              <w:t>形式提交并保证于开标</w:t>
            </w:r>
            <w:r>
              <w:rPr>
                <w:rFonts w:ascii="宋体" w:hAnsi="宋体"/>
                <w:b/>
                <w:color w:val="auto"/>
                <w:sz w:val="24"/>
                <w:shd w:val="pct10" w:color="auto" w:fill="FFFFFF"/>
              </w:rPr>
              <w:t>时间</w:t>
            </w:r>
            <w:r>
              <w:rPr>
                <w:rFonts w:hint="eastAsia" w:ascii="宋体" w:hAnsi="宋体"/>
                <w:b/>
                <w:color w:val="auto"/>
                <w:sz w:val="24"/>
                <w:shd w:val="pct10" w:color="auto" w:fill="FFFFFF"/>
              </w:rPr>
              <w:t>前到达招标文件中所指定的帐号，采购代理机构将以开户银行提供的投标保证金到帐时间为依据进行确认。保证金未按规定时间到账或提交投标保证金的汇款人名称与投标人名称不一致的，其投标将被拒绝。</w:t>
            </w:r>
          </w:p>
          <w:p>
            <w:pPr>
              <w:numPr>
                <w:ins w:id="0" w:author="lenovo" w:date="2016-07-28T18:07:00Z"/>
              </w:numPr>
              <w:spacing w:line="360" w:lineRule="auto"/>
              <w:ind w:firstLine="354" w:firstLineChars="147"/>
              <w:jc w:val="left"/>
              <w:rPr>
                <w:rFonts w:ascii="宋体" w:hAnsi="宋体"/>
                <w:b/>
                <w:color w:val="auto"/>
                <w:sz w:val="24"/>
                <w:shd w:val="pct10" w:color="auto" w:fill="FFFFFF"/>
              </w:rPr>
            </w:pPr>
            <w:r>
              <w:rPr>
                <w:rFonts w:hint="eastAsia" w:ascii="宋体" w:hAnsi="宋体"/>
                <w:b/>
                <w:color w:val="auto"/>
                <w:sz w:val="24"/>
                <w:shd w:val="pct10" w:color="auto" w:fill="FFFFFF"/>
              </w:rPr>
              <w:t>注：投标保证金转账时请注明所投项目的项目编号。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80" w:type="dxa"/>
            <w:noWrap/>
            <w:vAlign w:val="center"/>
          </w:tcPr>
          <w:p>
            <w:pPr>
              <w:spacing w:line="360" w:lineRule="auto"/>
              <w:jc w:val="center"/>
              <w:rPr>
                <w:rFonts w:ascii="宋体" w:hAnsi="宋体"/>
                <w:color w:val="auto"/>
                <w:sz w:val="24"/>
              </w:rPr>
            </w:pPr>
            <w:r>
              <w:rPr>
                <w:rFonts w:hint="eastAsia" w:ascii="宋体" w:hAnsi="宋体"/>
                <w:color w:val="auto"/>
                <w:sz w:val="24"/>
              </w:rPr>
              <w:t>6</w:t>
            </w:r>
          </w:p>
        </w:tc>
        <w:tc>
          <w:tcPr>
            <w:tcW w:w="741" w:type="dxa"/>
            <w:noWrap/>
            <w:vAlign w:val="center"/>
          </w:tcPr>
          <w:p>
            <w:pPr>
              <w:spacing w:line="360" w:lineRule="auto"/>
              <w:jc w:val="center"/>
              <w:rPr>
                <w:rFonts w:ascii="宋体" w:hAnsi="宋体"/>
                <w:color w:val="auto"/>
                <w:sz w:val="24"/>
              </w:rPr>
            </w:pPr>
            <w:r>
              <w:rPr>
                <w:rFonts w:hint="eastAsia" w:ascii="宋体" w:hAnsi="宋体"/>
                <w:color w:val="auto"/>
                <w:sz w:val="24"/>
              </w:rPr>
              <w:t>19.1</w:t>
            </w:r>
          </w:p>
        </w:tc>
        <w:tc>
          <w:tcPr>
            <w:tcW w:w="7764" w:type="dxa"/>
            <w:noWrap/>
            <w:vAlign w:val="center"/>
          </w:tcPr>
          <w:p>
            <w:pPr>
              <w:spacing w:line="360" w:lineRule="auto"/>
              <w:rPr>
                <w:rFonts w:ascii="宋体" w:hAnsi="宋体"/>
                <w:color w:val="auto"/>
                <w:sz w:val="24"/>
              </w:rPr>
            </w:pPr>
            <w:r>
              <w:rPr>
                <w:rFonts w:hint="eastAsia" w:ascii="宋体" w:hAnsi="宋体"/>
                <w:color w:val="auto"/>
                <w:sz w:val="24"/>
              </w:rPr>
              <w:t>评标标准和方法：详见附1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0" w:type="dxa"/>
            <w:noWrap/>
            <w:vAlign w:val="center"/>
          </w:tcPr>
          <w:p>
            <w:pPr>
              <w:spacing w:line="360" w:lineRule="auto"/>
              <w:jc w:val="center"/>
              <w:rPr>
                <w:rFonts w:ascii="宋体" w:hAnsi="宋体"/>
                <w:color w:val="auto"/>
                <w:sz w:val="24"/>
              </w:rPr>
            </w:pPr>
            <w:r>
              <w:rPr>
                <w:rFonts w:hint="eastAsia" w:ascii="宋体" w:hAnsi="宋体"/>
                <w:color w:val="auto"/>
                <w:sz w:val="24"/>
              </w:rPr>
              <w:t>7</w:t>
            </w:r>
          </w:p>
        </w:tc>
        <w:tc>
          <w:tcPr>
            <w:tcW w:w="741" w:type="dxa"/>
            <w:noWrap/>
            <w:vAlign w:val="center"/>
          </w:tcPr>
          <w:p>
            <w:pPr>
              <w:spacing w:line="360" w:lineRule="auto"/>
              <w:jc w:val="center"/>
              <w:rPr>
                <w:rFonts w:ascii="宋体" w:hAnsi="宋体"/>
                <w:color w:val="auto"/>
                <w:sz w:val="24"/>
              </w:rPr>
            </w:pPr>
            <w:r>
              <w:rPr>
                <w:rFonts w:hint="eastAsia" w:ascii="宋体" w:hAnsi="宋体"/>
                <w:color w:val="auto"/>
                <w:sz w:val="24"/>
              </w:rPr>
              <w:t>/</w:t>
            </w:r>
          </w:p>
        </w:tc>
        <w:tc>
          <w:tcPr>
            <w:tcW w:w="7764" w:type="dxa"/>
            <w:noWrap/>
            <w:vAlign w:val="center"/>
          </w:tcPr>
          <w:p>
            <w:pPr>
              <w:pStyle w:val="32"/>
              <w:wordWrap w:val="0"/>
              <w:spacing w:before="0" w:beforeAutospacing="0" w:after="0" w:afterAutospacing="0" w:line="360" w:lineRule="auto"/>
              <w:rPr>
                <w:b/>
                <w:color w:val="auto"/>
                <w:kern w:val="2"/>
                <w:shd w:val="pct10" w:color="auto" w:fill="FFFFFF"/>
              </w:rPr>
            </w:pPr>
            <w:r>
              <w:rPr>
                <w:rFonts w:hint="eastAsia"/>
                <w:b/>
                <w:bCs/>
                <w:color w:val="auto"/>
              </w:rPr>
              <w:t>招标代理服务费：</w:t>
            </w:r>
            <w:r>
              <w:rPr>
                <w:rFonts w:hint="eastAsia"/>
                <w:b/>
                <w:color w:val="auto"/>
                <w:kern w:val="2"/>
                <w:shd w:val="pct10" w:color="auto" w:fill="FFFFFF"/>
              </w:rPr>
              <w:t>本项目合同包1.合同包2的招标代理服务费按3年服务期金额向中标人收取，收费标准按照《招标代理服务收费管理暂行办法》（计价格2002{1980}号）中按差额定率累进法计算，向采购代理机构交纳招标代理服务费(中标服务费)。</w:t>
            </w:r>
          </w:p>
          <w:p>
            <w:pPr>
              <w:snapToGrid w:val="0"/>
              <w:spacing w:line="360" w:lineRule="auto"/>
              <w:rPr>
                <w:rFonts w:ascii="宋体" w:hAnsi="宋体"/>
                <w:color w:val="auto"/>
                <w:sz w:val="24"/>
              </w:rPr>
            </w:pPr>
            <w:r>
              <w:rPr>
                <w:rFonts w:hint="eastAsia" w:ascii="宋体" w:hAnsi="宋体"/>
                <w:b/>
                <w:color w:val="auto"/>
                <w:sz w:val="24"/>
                <w:shd w:val="pct10" w:color="auto" w:fill="FFFFFF"/>
              </w:rPr>
              <w:t>招标代理服务费的交纳方式：投标人应在领取中标通知书的同时按规定的标准一次性向招标代理机构缴清招标代理服务费。招标代理服务费以银行转账或现金等付款方式。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0" w:type="dxa"/>
            <w:noWrap/>
            <w:vAlign w:val="center"/>
          </w:tcPr>
          <w:p>
            <w:pPr>
              <w:spacing w:line="360" w:lineRule="auto"/>
              <w:jc w:val="center"/>
              <w:rPr>
                <w:rFonts w:ascii="宋体" w:hAnsi="宋体"/>
                <w:color w:val="auto"/>
                <w:sz w:val="24"/>
              </w:rPr>
            </w:pPr>
            <w:r>
              <w:rPr>
                <w:rFonts w:hint="eastAsia" w:ascii="宋体" w:hAnsi="宋体"/>
                <w:color w:val="auto"/>
                <w:sz w:val="24"/>
              </w:rPr>
              <w:t>8</w:t>
            </w:r>
          </w:p>
        </w:tc>
        <w:tc>
          <w:tcPr>
            <w:tcW w:w="741" w:type="dxa"/>
            <w:noWrap/>
            <w:vAlign w:val="center"/>
          </w:tcPr>
          <w:p>
            <w:pPr>
              <w:spacing w:line="360" w:lineRule="auto"/>
              <w:jc w:val="center"/>
              <w:rPr>
                <w:rFonts w:ascii="宋体" w:hAnsi="宋体"/>
                <w:color w:val="auto"/>
                <w:sz w:val="24"/>
              </w:rPr>
            </w:pPr>
            <w:r>
              <w:rPr>
                <w:rFonts w:hint="eastAsia" w:ascii="宋体" w:hAnsi="宋体"/>
                <w:b/>
                <w:color w:val="auto"/>
                <w:sz w:val="24"/>
              </w:rPr>
              <w:t>13.1</w:t>
            </w:r>
          </w:p>
        </w:tc>
        <w:tc>
          <w:tcPr>
            <w:tcW w:w="7764" w:type="dxa"/>
            <w:noWrap/>
            <w:vAlign w:val="center"/>
          </w:tcPr>
          <w:p>
            <w:pPr>
              <w:snapToGrid w:val="0"/>
              <w:spacing w:line="360" w:lineRule="auto"/>
              <w:rPr>
                <w:rFonts w:ascii="宋体" w:hAnsi="宋体"/>
                <w:color w:val="auto"/>
                <w:sz w:val="24"/>
              </w:rPr>
            </w:pPr>
            <w:r>
              <w:rPr>
                <w:rFonts w:hint="eastAsia" w:ascii="宋体" w:hAnsi="宋体"/>
                <w:color w:val="auto"/>
                <w:sz w:val="24"/>
              </w:rPr>
              <w:t>投标文件装订要求：</w:t>
            </w:r>
          </w:p>
          <w:p>
            <w:pPr>
              <w:spacing w:line="360" w:lineRule="auto"/>
              <w:ind w:firstLine="354" w:firstLineChars="147"/>
              <w:rPr>
                <w:rFonts w:ascii="宋体" w:hAnsi="宋体"/>
                <w:b/>
                <w:color w:val="auto"/>
                <w:sz w:val="24"/>
                <w:shd w:val="pct10" w:color="auto" w:fill="FFFFFF"/>
              </w:rPr>
            </w:pPr>
            <w:r>
              <w:rPr>
                <w:rFonts w:hint="eastAsia" w:ascii="宋体" w:hAnsi="宋体"/>
                <w:b/>
                <w:color w:val="auto"/>
                <w:sz w:val="24"/>
                <w:shd w:val="pct10" w:color="auto" w:fill="FFFFFF"/>
              </w:rPr>
              <w:t>投标人须编制由本须知第10条规定文件组成的投标文件正本一份和副本三份（报价部分、技术商务部分需单独装订，分册密封投标），电子文件一份，正本必须用A4幅面纸张打印装订成册（含产品彩页），应编制封面目录、页码，必须用胶装（为永久性、无破坏不可拆的，详见</w:t>
            </w:r>
            <w:r>
              <w:rPr>
                <w:color w:val="auto"/>
              </w:rPr>
              <w:fldChar w:fldCharType="begin"/>
            </w:r>
            <w:r>
              <w:rPr>
                <w:color w:val="auto"/>
              </w:rPr>
              <w:instrText xml:space="preserve"> HYPERLINK \l "附件2：投标文件标准装订范本" </w:instrText>
            </w:r>
            <w:r>
              <w:rPr>
                <w:color w:val="auto"/>
              </w:rPr>
              <w:fldChar w:fldCharType="separate"/>
            </w:r>
            <w:r>
              <w:rPr>
                <w:rStyle w:val="47"/>
                <w:rFonts w:hint="eastAsia" w:ascii="宋体" w:hAnsi="宋体"/>
                <w:b/>
                <w:color w:val="auto"/>
                <w:sz w:val="24"/>
                <w:shd w:val="pct10" w:color="auto" w:fill="FFFFFF"/>
              </w:rPr>
              <w:t>附件3</w:t>
            </w:r>
            <w:r>
              <w:rPr>
                <w:rStyle w:val="47"/>
                <w:rFonts w:hint="eastAsia" w:ascii="宋体" w:hAnsi="宋体"/>
                <w:b/>
                <w:color w:val="auto"/>
                <w:sz w:val="24"/>
                <w:shd w:val="pct10" w:color="auto" w:fill="FFFFFF"/>
              </w:rPr>
              <w:fldChar w:fldCharType="end"/>
            </w:r>
            <w:r>
              <w:rPr>
                <w:rFonts w:hint="eastAsia" w:ascii="宋体" w:hAnsi="宋体"/>
                <w:b/>
                <w:color w:val="auto"/>
                <w:sz w:val="24"/>
                <w:shd w:val="pct10" w:color="auto" w:fill="FFFFFF"/>
              </w:rPr>
              <w:t>）加盖骑缝章或逐页盖章。副本可以用正本的完整复印件并按规定装订成册，并在封面标明“正本”、“副本”字样。正本与副本如有不一致，则以正本为准。（注：若未按要求装订或投标文件技术商务部分出现投标报价，视为无效投标。）</w:t>
            </w:r>
          </w:p>
          <w:p>
            <w:pPr>
              <w:spacing w:line="360" w:lineRule="auto"/>
              <w:ind w:firstLine="354" w:firstLineChars="147"/>
              <w:rPr>
                <w:rFonts w:ascii="宋体" w:hAnsi="宋体"/>
                <w:b/>
                <w:color w:val="auto"/>
                <w:sz w:val="24"/>
                <w:shd w:val="pct10" w:color="auto" w:fill="FFFFFF"/>
              </w:rPr>
            </w:pPr>
            <w:r>
              <w:rPr>
                <w:rFonts w:ascii="宋体" w:hAnsi="宋体"/>
                <w:b/>
                <w:color w:val="auto"/>
                <w:sz w:val="24"/>
                <w:shd w:val="pct10" w:color="auto" w:fill="FFFFFF"/>
              </w:rPr>
              <w:t>电子文件，</w:t>
            </w:r>
            <w:r>
              <w:rPr>
                <w:rFonts w:hint="eastAsia" w:ascii="宋体" w:hAnsi="宋体"/>
                <w:b/>
                <w:color w:val="auto"/>
                <w:sz w:val="24"/>
                <w:shd w:val="pct10" w:color="auto" w:fill="FFFFFF"/>
              </w:rPr>
              <w:t>投标人</w:t>
            </w:r>
            <w:r>
              <w:rPr>
                <w:rFonts w:ascii="宋体" w:hAnsi="宋体"/>
                <w:b/>
                <w:color w:val="auto"/>
                <w:sz w:val="24"/>
                <w:shd w:val="pct10" w:color="auto" w:fill="FFFFFF"/>
              </w:rPr>
              <w:t>必须将加盖红色公章的</w:t>
            </w:r>
            <w:r>
              <w:rPr>
                <w:rFonts w:hint="eastAsia" w:ascii="宋体" w:hAnsi="宋体"/>
                <w:b/>
                <w:color w:val="auto"/>
                <w:sz w:val="24"/>
                <w:shd w:val="pct10" w:color="auto" w:fill="FFFFFF"/>
              </w:rPr>
              <w:t>投标</w:t>
            </w:r>
            <w:r>
              <w:rPr>
                <w:rFonts w:ascii="宋体" w:hAnsi="宋体"/>
                <w:b/>
                <w:color w:val="auto"/>
                <w:sz w:val="24"/>
                <w:shd w:val="pct10" w:color="auto" w:fill="FFFFFF"/>
              </w:rPr>
              <w:t>文件正本全部内容扫描成电子文件（</w:t>
            </w:r>
            <w:r>
              <w:rPr>
                <w:rFonts w:hint="eastAsia" w:ascii="宋体" w:hAnsi="宋体"/>
                <w:b/>
                <w:color w:val="auto"/>
                <w:sz w:val="24"/>
                <w:shd w:val="pct10" w:color="auto" w:fill="FFFFFF"/>
              </w:rPr>
              <w:t>U盘</w:t>
            </w:r>
            <w:r>
              <w:rPr>
                <w:rFonts w:ascii="宋体" w:hAnsi="宋体"/>
                <w:b/>
                <w:color w:val="auto"/>
                <w:sz w:val="24"/>
                <w:shd w:val="pct10" w:color="auto" w:fill="FFFFFF"/>
              </w:rPr>
              <w:t>，无病毒），与</w:t>
            </w:r>
            <w:r>
              <w:rPr>
                <w:rFonts w:hint="eastAsia" w:ascii="宋体" w:hAnsi="宋体"/>
                <w:b/>
                <w:color w:val="auto"/>
                <w:sz w:val="24"/>
                <w:shd w:val="pct10" w:color="auto" w:fill="FFFFFF"/>
              </w:rPr>
              <w:t>投标</w:t>
            </w:r>
            <w:r>
              <w:rPr>
                <w:rFonts w:ascii="宋体" w:hAnsi="宋体"/>
                <w:b/>
                <w:color w:val="auto"/>
                <w:sz w:val="24"/>
                <w:shd w:val="pct10" w:color="auto" w:fill="FFFFFF"/>
              </w:rPr>
              <w:t>文件正本一起提交，其中所有文件不做压缩处理、不设密码。未按以上格式完成并提交，按无效投标处理。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780" w:type="dxa"/>
            <w:noWrap/>
            <w:vAlign w:val="center"/>
          </w:tcPr>
          <w:p>
            <w:pPr>
              <w:spacing w:line="360" w:lineRule="auto"/>
              <w:jc w:val="center"/>
              <w:rPr>
                <w:rFonts w:ascii="宋体" w:hAnsi="宋体"/>
                <w:color w:val="auto"/>
                <w:sz w:val="24"/>
              </w:rPr>
            </w:pPr>
            <w:r>
              <w:rPr>
                <w:rFonts w:hint="eastAsia" w:ascii="宋体" w:hAnsi="宋体"/>
                <w:color w:val="auto"/>
                <w:sz w:val="24"/>
              </w:rPr>
              <w:t>9</w:t>
            </w:r>
          </w:p>
        </w:tc>
        <w:tc>
          <w:tcPr>
            <w:tcW w:w="741" w:type="dxa"/>
            <w:noWrap/>
            <w:vAlign w:val="center"/>
          </w:tcPr>
          <w:p>
            <w:pPr>
              <w:spacing w:line="360" w:lineRule="auto"/>
              <w:jc w:val="center"/>
              <w:rPr>
                <w:rFonts w:ascii="宋体" w:hAnsi="宋体"/>
                <w:b/>
                <w:color w:val="auto"/>
                <w:sz w:val="24"/>
              </w:rPr>
            </w:pPr>
            <w:r>
              <w:rPr>
                <w:rFonts w:hint="eastAsia" w:ascii="宋体" w:hAnsi="宋体"/>
                <w:b/>
                <w:color w:val="auto"/>
                <w:sz w:val="24"/>
              </w:rPr>
              <w:t>退投标保证金</w:t>
            </w:r>
          </w:p>
        </w:tc>
        <w:tc>
          <w:tcPr>
            <w:tcW w:w="7764" w:type="dxa"/>
            <w:noWrap/>
            <w:vAlign w:val="center"/>
          </w:tcPr>
          <w:p>
            <w:pPr>
              <w:spacing w:line="360" w:lineRule="auto"/>
              <w:rPr>
                <w:rFonts w:ascii="宋体" w:hAnsi="宋体"/>
                <w:b/>
                <w:color w:val="auto"/>
                <w:sz w:val="24"/>
              </w:rPr>
            </w:pPr>
            <w:r>
              <w:rPr>
                <w:rFonts w:ascii="宋体" w:hAnsi="宋体"/>
                <w:b/>
                <w:color w:val="auto"/>
                <w:sz w:val="24"/>
              </w:rPr>
              <w:t>现根据《中华人民共和国政府采购法实施条例》、《财政部关于做好政府采购信息公开工作的通知》的相关规定，招标代理机构将对中标人与采购人签订的政府采购合同在省级以上人民政府财政部门指定的媒体上公告（合同中涉及国家秘密、商业秘密内容的除外）。请中标方将签订的采购合同按以下规定提交招标代理机构，以便我司进行合同公示及办理退还保证金。办理保证金退还的咨询专线：</w:t>
            </w:r>
            <w:r>
              <w:rPr>
                <w:rFonts w:hint="eastAsia" w:ascii="宋体" w:hAnsi="宋体"/>
                <w:b/>
                <w:color w:val="auto"/>
                <w:sz w:val="24"/>
              </w:rPr>
              <w:t>0593-2822316</w:t>
            </w:r>
            <w:r>
              <w:rPr>
                <w:rFonts w:ascii="宋体" w:hAnsi="宋体"/>
                <w:b/>
                <w:color w:val="auto"/>
                <w:sz w:val="24"/>
              </w:rPr>
              <w:t>。</w:t>
            </w:r>
          </w:p>
          <w:p>
            <w:pPr>
              <w:spacing w:line="360" w:lineRule="auto"/>
              <w:rPr>
                <w:rFonts w:ascii="宋体" w:hAnsi="宋体"/>
                <w:b/>
                <w:color w:val="auto"/>
                <w:sz w:val="24"/>
              </w:rPr>
            </w:pPr>
            <w:r>
              <w:rPr>
                <w:rFonts w:ascii="宋体" w:hAnsi="宋体"/>
                <w:b/>
                <w:color w:val="auto"/>
                <w:sz w:val="24"/>
              </w:rPr>
              <w:t>1、 中标单位需将合同原件扫描发至</w:t>
            </w:r>
            <w:r>
              <w:rPr>
                <w:rFonts w:hint="eastAsia" w:ascii="宋体" w:hAnsi="宋体"/>
                <w:b/>
                <w:color w:val="auto"/>
                <w:sz w:val="24"/>
              </w:rPr>
              <w:t>ndhfzb88@163.com</w:t>
            </w:r>
            <w:r>
              <w:rPr>
                <w:rFonts w:ascii="宋体" w:hAnsi="宋体"/>
                <w:b/>
                <w:color w:val="auto"/>
                <w:sz w:val="24"/>
              </w:rPr>
              <w:t>邮箱，内容及公章必须清晰（不接受传真件），同时请在邮件中注明招标编号、项目名称、中标单位名称、中标金额、投标保证金金额、合同签订日期、单位法人名字、联系电话，</w:t>
            </w:r>
            <w:r>
              <w:rPr>
                <w:rFonts w:hint="eastAsia" w:ascii="宋体" w:hAnsi="宋体"/>
                <w:b/>
                <w:color w:val="auto"/>
                <w:sz w:val="24"/>
              </w:rPr>
              <w:t>我司将在一个工作日内作出邮件形式的回复，如未收到回复有可能我司未收到合同，请再次发送，</w:t>
            </w:r>
            <w:r>
              <w:rPr>
                <w:rFonts w:ascii="宋体" w:hAnsi="宋体"/>
                <w:b/>
                <w:color w:val="auto"/>
                <w:sz w:val="24"/>
              </w:rPr>
              <w:t>以便</w:t>
            </w:r>
            <w:r>
              <w:rPr>
                <w:rFonts w:hint="eastAsia" w:ascii="宋体" w:hAnsi="宋体"/>
                <w:b/>
                <w:color w:val="auto"/>
                <w:sz w:val="24"/>
              </w:rPr>
              <w:t>我司</w:t>
            </w:r>
            <w:r>
              <w:rPr>
                <w:rFonts w:ascii="宋体" w:hAnsi="宋体"/>
                <w:b/>
                <w:color w:val="auto"/>
                <w:sz w:val="24"/>
              </w:rPr>
              <w:t>退保工作的顺利进行。（未按以上要求申请办理，所有责任投标方自负）。</w:t>
            </w:r>
          </w:p>
          <w:p>
            <w:pPr>
              <w:spacing w:line="360" w:lineRule="auto"/>
              <w:rPr>
                <w:rFonts w:ascii="宋体" w:hAnsi="宋体"/>
                <w:b/>
                <w:color w:val="auto"/>
                <w:sz w:val="24"/>
                <w:shd w:val="pct10" w:color="auto" w:fill="FFFFFF"/>
              </w:rPr>
            </w:pPr>
            <w:r>
              <w:rPr>
                <w:rFonts w:ascii="宋体" w:hAnsi="宋体"/>
                <w:b/>
                <w:color w:val="auto"/>
                <w:sz w:val="24"/>
              </w:rPr>
              <w:t>2、  落标单位需将落标结果通知书回执扫描发至</w:t>
            </w:r>
            <w:r>
              <w:rPr>
                <w:rFonts w:hint="eastAsia" w:ascii="宋体" w:hAnsi="宋体"/>
                <w:b/>
                <w:color w:val="auto"/>
                <w:sz w:val="24"/>
              </w:rPr>
              <w:t>ndhfzb88@163.com</w:t>
            </w:r>
            <w:r>
              <w:rPr>
                <w:rFonts w:ascii="宋体" w:hAnsi="宋体"/>
                <w:b/>
                <w:color w:val="auto"/>
                <w:sz w:val="24"/>
              </w:rPr>
              <w:t>邮箱，内容及公章必须清晰（不接受传真件），同时请在邮件中注明招标编号、项目名称、投标保证金金额、单位名称、联系电话，</w:t>
            </w:r>
            <w:r>
              <w:rPr>
                <w:rFonts w:hint="eastAsia" w:ascii="宋体" w:hAnsi="宋体"/>
                <w:b/>
                <w:color w:val="auto"/>
                <w:sz w:val="24"/>
              </w:rPr>
              <w:t>我司将在一个工作日内作出邮件形式的回复，如未收到回复有可能我司未收到落标通知书回执，请再次发送，</w:t>
            </w:r>
            <w:r>
              <w:rPr>
                <w:rFonts w:ascii="宋体" w:hAnsi="宋体"/>
                <w:b/>
                <w:color w:val="auto"/>
                <w:sz w:val="24"/>
              </w:rPr>
              <w:t>以便</w:t>
            </w:r>
            <w:r>
              <w:rPr>
                <w:rFonts w:hint="eastAsia" w:ascii="宋体" w:hAnsi="宋体"/>
                <w:b/>
                <w:color w:val="auto"/>
                <w:sz w:val="24"/>
              </w:rPr>
              <w:t>我司</w:t>
            </w:r>
            <w:r>
              <w:rPr>
                <w:rFonts w:ascii="宋体" w:hAnsi="宋体"/>
                <w:b/>
                <w:color w:val="auto"/>
                <w:sz w:val="24"/>
              </w:rPr>
              <w:t>退保工作的顺利进行。（未按以上要求申请办理，所有责任投标方自负）。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80" w:type="dxa"/>
            <w:noWrap/>
            <w:vAlign w:val="center"/>
          </w:tcPr>
          <w:p>
            <w:pPr>
              <w:spacing w:line="360" w:lineRule="auto"/>
              <w:jc w:val="center"/>
              <w:rPr>
                <w:rFonts w:ascii="宋体" w:hAnsi="宋体"/>
                <w:color w:val="auto"/>
                <w:sz w:val="24"/>
              </w:rPr>
            </w:pPr>
            <w:r>
              <w:rPr>
                <w:rFonts w:hint="eastAsia" w:ascii="宋体" w:hAnsi="宋体"/>
                <w:color w:val="auto"/>
                <w:sz w:val="24"/>
              </w:rPr>
              <w:t>10</w:t>
            </w:r>
          </w:p>
        </w:tc>
        <w:tc>
          <w:tcPr>
            <w:tcW w:w="741" w:type="dxa"/>
            <w:noWrap/>
            <w:vAlign w:val="center"/>
          </w:tcPr>
          <w:p>
            <w:pPr>
              <w:spacing w:line="360" w:lineRule="auto"/>
              <w:jc w:val="center"/>
              <w:rPr>
                <w:rFonts w:ascii="宋体" w:hAnsi="宋体"/>
                <w:b/>
                <w:color w:val="auto"/>
                <w:sz w:val="24"/>
                <w:szCs w:val="24"/>
              </w:rPr>
            </w:pPr>
            <w:r>
              <w:rPr>
                <w:rFonts w:hint="eastAsia" w:ascii="宋体" w:hAnsi="宋体"/>
                <w:b/>
                <w:color w:val="auto"/>
                <w:sz w:val="24"/>
              </w:rPr>
              <w:t>无效投标条款</w:t>
            </w:r>
          </w:p>
        </w:tc>
        <w:tc>
          <w:tcPr>
            <w:tcW w:w="7764" w:type="dxa"/>
            <w:noWrap/>
            <w:vAlign w:val="center"/>
          </w:tcPr>
          <w:p>
            <w:pPr>
              <w:snapToGrid w:val="0"/>
              <w:spacing w:line="360" w:lineRule="auto"/>
              <w:rPr>
                <w:rFonts w:ascii="宋体" w:hAnsi="宋体"/>
                <w:b/>
                <w:color w:val="auto"/>
                <w:sz w:val="24"/>
              </w:rPr>
            </w:pPr>
            <w:r>
              <w:rPr>
                <w:rFonts w:hint="eastAsia" w:ascii="宋体" w:hAnsi="宋体"/>
                <w:b/>
                <w:color w:val="auto"/>
                <w:sz w:val="24"/>
              </w:rPr>
              <w:t>无效投标条款：凡有下列情况之一者，招标文件也将被视为未实质性响应招标文件要求，按无效投标处理：</w:t>
            </w:r>
          </w:p>
          <w:p>
            <w:pPr>
              <w:snapToGrid w:val="0"/>
              <w:spacing w:line="360" w:lineRule="auto"/>
              <w:rPr>
                <w:rFonts w:ascii="宋体" w:hAnsi="宋体"/>
                <w:color w:val="auto"/>
                <w:sz w:val="24"/>
              </w:rPr>
            </w:pPr>
            <w:r>
              <w:rPr>
                <w:rFonts w:hint="eastAsia" w:ascii="宋体" w:hAnsi="宋体"/>
                <w:color w:val="auto"/>
                <w:sz w:val="24"/>
              </w:rPr>
              <w:t>（1）未按本须知第13条的规定要求装订或投标文件技术商务部分出现投标报价，视为无效投标；</w:t>
            </w:r>
          </w:p>
          <w:p>
            <w:pPr>
              <w:snapToGrid w:val="0"/>
              <w:spacing w:line="360" w:lineRule="auto"/>
              <w:rPr>
                <w:rFonts w:ascii="宋体" w:hAnsi="宋体"/>
                <w:color w:val="auto"/>
                <w:sz w:val="24"/>
              </w:rPr>
            </w:pPr>
            <w:r>
              <w:rPr>
                <w:rFonts w:hint="eastAsia" w:ascii="宋体" w:hAnsi="宋体"/>
                <w:color w:val="auto"/>
                <w:sz w:val="24"/>
              </w:rPr>
              <w:t>（2）投标文件未按照本须知第14条的规定进行密封、标记的；</w:t>
            </w:r>
          </w:p>
          <w:p>
            <w:pPr>
              <w:snapToGrid w:val="0"/>
              <w:spacing w:line="360" w:lineRule="auto"/>
              <w:rPr>
                <w:rFonts w:ascii="宋体" w:hAnsi="宋体"/>
                <w:color w:val="auto"/>
                <w:sz w:val="24"/>
              </w:rPr>
            </w:pPr>
            <w:r>
              <w:rPr>
                <w:rFonts w:hint="eastAsia" w:ascii="宋体" w:hAnsi="宋体"/>
                <w:color w:val="auto"/>
                <w:sz w:val="24"/>
              </w:rPr>
              <w:t>（3）未按规定由投标人的法定代表人或其授权代表签字，或未加盖投标人公章的；或签字人未经法定代表人有效授权委托的；</w:t>
            </w:r>
          </w:p>
          <w:p>
            <w:pPr>
              <w:snapToGrid w:val="0"/>
              <w:spacing w:line="360" w:lineRule="auto"/>
              <w:rPr>
                <w:rFonts w:ascii="宋体" w:hAnsi="宋体"/>
                <w:color w:val="auto"/>
                <w:sz w:val="24"/>
              </w:rPr>
            </w:pPr>
            <w:r>
              <w:rPr>
                <w:rFonts w:hint="eastAsia" w:ascii="宋体" w:hAnsi="宋体"/>
                <w:color w:val="auto"/>
                <w:sz w:val="24"/>
              </w:rPr>
              <w:t>（4）未按规定提交投标保证金的；</w:t>
            </w:r>
          </w:p>
          <w:p>
            <w:pPr>
              <w:snapToGrid w:val="0"/>
              <w:spacing w:line="360" w:lineRule="auto"/>
              <w:rPr>
                <w:rFonts w:ascii="宋体" w:hAnsi="宋体"/>
                <w:color w:val="auto"/>
                <w:sz w:val="24"/>
              </w:rPr>
            </w:pPr>
            <w:r>
              <w:rPr>
                <w:rFonts w:hint="eastAsia" w:ascii="宋体" w:hAnsi="宋体"/>
                <w:color w:val="auto"/>
                <w:sz w:val="24"/>
              </w:rPr>
              <w:t>（5）投标有效期不满足招标文件要求的；</w:t>
            </w:r>
          </w:p>
          <w:p>
            <w:pPr>
              <w:snapToGrid w:val="0"/>
              <w:spacing w:line="360" w:lineRule="auto"/>
              <w:rPr>
                <w:rFonts w:ascii="宋体" w:hAnsi="宋体"/>
                <w:color w:val="auto"/>
                <w:sz w:val="24"/>
              </w:rPr>
            </w:pPr>
            <w:r>
              <w:rPr>
                <w:rFonts w:hint="eastAsia" w:ascii="宋体" w:hAnsi="宋体"/>
                <w:color w:val="auto"/>
                <w:sz w:val="24"/>
              </w:rPr>
              <w:t>（6）投标内容与招标内容及要求有重大偏离或保留的；</w:t>
            </w:r>
          </w:p>
          <w:p>
            <w:pPr>
              <w:snapToGrid w:val="0"/>
              <w:spacing w:line="360" w:lineRule="auto"/>
              <w:rPr>
                <w:rFonts w:ascii="宋体" w:hAnsi="宋体"/>
                <w:color w:val="auto"/>
                <w:sz w:val="24"/>
              </w:rPr>
            </w:pPr>
            <w:r>
              <w:rPr>
                <w:rFonts w:hint="eastAsia" w:ascii="宋体" w:hAnsi="宋体"/>
                <w:color w:val="auto"/>
                <w:sz w:val="24"/>
              </w:rPr>
              <w:t>（7）投标人提交的是可选择的报价；</w:t>
            </w:r>
          </w:p>
          <w:p>
            <w:pPr>
              <w:snapToGrid w:val="0"/>
              <w:spacing w:line="360" w:lineRule="auto"/>
              <w:rPr>
                <w:rFonts w:ascii="宋体" w:hAnsi="宋体"/>
                <w:color w:val="auto"/>
                <w:sz w:val="24"/>
              </w:rPr>
            </w:pPr>
            <w:r>
              <w:rPr>
                <w:rFonts w:hint="eastAsia" w:ascii="宋体" w:hAnsi="宋体"/>
                <w:color w:val="auto"/>
                <w:sz w:val="24"/>
              </w:rPr>
              <w:t>（8）投标人未按规定对投标进行报价及分项报价；</w:t>
            </w:r>
          </w:p>
          <w:p>
            <w:pPr>
              <w:snapToGrid w:val="0"/>
              <w:spacing w:line="360" w:lineRule="auto"/>
              <w:rPr>
                <w:rFonts w:ascii="宋体" w:hAnsi="宋体"/>
                <w:color w:val="auto"/>
                <w:sz w:val="24"/>
              </w:rPr>
            </w:pPr>
            <w:r>
              <w:rPr>
                <w:rFonts w:hint="eastAsia" w:ascii="宋体" w:hAnsi="宋体"/>
                <w:color w:val="auto"/>
                <w:sz w:val="24"/>
              </w:rPr>
              <w:t>（9）一个投标人不止投一个标；</w:t>
            </w:r>
          </w:p>
          <w:p>
            <w:pPr>
              <w:snapToGrid w:val="0"/>
              <w:spacing w:line="360" w:lineRule="auto"/>
              <w:rPr>
                <w:rFonts w:ascii="宋体" w:hAnsi="宋体"/>
                <w:color w:val="auto"/>
                <w:sz w:val="24"/>
              </w:rPr>
            </w:pPr>
            <w:r>
              <w:rPr>
                <w:rFonts w:hint="eastAsia" w:ascii="宋体" w:hAnsi="宋体"/>
                <w:color w:val="auto"/>
                <w:sz w:val="24"/>
              </w:rPr>
              <w:t>（10）投标文件组成不符合招标文件要求的；</w:t>
            </w:r>
          </w:p>
          <w:p>
            <w:pPr>
              <w:snapToGrid w:val="0"/>
              <w:spacing w:line="360" w:lineRule="auto"/>
              <w:rPr>
                <w:rFonts w:ascii="宋体" w:hAnsi="宋体"/>
                <w:color w:val="auto"/>
                <w:sz w:val="24"/>
              </w:rPr>
            </w:pPr>
            <w:r>
              <w:rPr>
                <w:rFonts w:hint="eastAsia" w:ascii="宋体" w:hAnsi="宋体"/>
                <w:color w:val="auto"/>
                <w:sz w:val="24"/>
              </w:rPr>
              <w:t>（11）投标文件中提供虚假或失实资料的；</w:t>
            </w:r>
          </w:p>
          <w:p>
            <w:pPr>
              <w:snapToGrid w:val="0"/>
              <w:spacing w:line="360" w:lineRule="auto"/>
              <w:rPr>
                <w:rFonts w:ascii="宋体" w:hAnsi="宋体"/>
                <w:color w:val="auto"/>
                <w:sz w:val="24"/>
              </w:rPr>
            </w:pPr>
            <w:r>
              <w:rPr>
                <w:rFonts w:hint="eastAsia" w:ascii="宋体" w:hAnsi="宋体"/>
                <w:color w:val="auto"/>
                <w:sz w:val="24"/>
              </w:rPr>
              <w:t>（12）不符合招标文件中规定的其它实质性条款；</w:t>
            </w:r>
          </w:p>
          <w:p>
            <w:pPr>
              <w:snapToGrid w:val="0"/>
              <w:spacing w:line="360" w:lineRule="auto"/>
              <w:rPr>
                <w:rFonts w:ascii="宋体" w:hAnsi="宋体"/>
                <w:color w:val="auto"/>
                <w:sz w:val="24"/>
              </w:rPr>
            </w:pPr>
            <w:r>
              <w:rPr>
                <w:rFonts w:hint="eastAsia" w:ascii="宋体" w:hAnsi="宋体"/>
                <w:color w:val="auto"/>
                <w:sz w:val="24"/>
              </w:rPr>
              <w:t>（13）未按规定办理报名手续的；</w:t>
            </w:r>
          </w:p>
          <w:p>
            <w:pPr>
              <w:snapToGrid w:val="0"/>
              <w:spacing w:line="360" w:lineRule="auto"/>
              <w:rPr>
                <w:rFonts w:ascii="宋体" w:hAnsi="宋体"/>
                <w:color w:val="auto"/>
                <w:sz w:val="24"/>
              </w:rPr>
            </w:pPr>
            <w:r>
              <w:rPr>
                <w:rFonts w:hint="eastAsia" w:ascii="宋体" w:hAnsi="宋体"/>
                <w:color w:val="auto"/>
                <w:sz w:val="24"/>
              </w:rPr>
              <w:t>（14）未在投标截止时间前送达的投标文件；</w:t>
            </w:r>
          </w:p>
          <w:p>
            <w:pPr>
              <w:snapToGrid w:val="0"/>
              <w:spacing w:line="360" w:lineRule="auto"/>
              <w:rPr>
                <w:rFonts w:ascii="宋体" w:hAnsi="宋体"/>
                <w:color w:val="auto"/>
                <w:sz w:val="24"/>
              </w:rPr>
            </w:pPr>
            <w:r>
              <w:rPr>
                <w:rFonts w:hint="eastAsia" w:ascii="宋体" w:hAnsi="宋体"/>
                <w:color w:val="auto"/>
                <w:sz w:val="24"/>
              </w:rPr>
              <w:t>（15）投标人未按报价要求报价的；</w:t>
            </w:r>
          </w:p>
          <w:p>
            <w:pPr>
              <w:snapToGrid w:val="0"/>
              <w:spacing w:line="360" w:lineRule="auto"/>
              <w:rPr>
                <w:rFonts w:ascii="宋体" w:hAnsi="宋体"/>
                <w:color w:val="auto"/>
                <w:sz w:val="24"/>
              </w:rPr>
            </w:pPr>
            <w:r>
              <w:rPr>
                <w:rFonts w:hint="eastAsia" w:ascii="宋体" w:hAnsi="宋体"/>
                <w:color w:val="auto"/>
                <w:sz w:val="24"/>
              </w:rPr>
              <w:t>（16）投标文件没有正本；</w:t>
            </w:r>
          </w:p>
          <w:p>
            <w:pPr>
              <w:snapToGrid w:val="0"/>
              <w:spacing w:line="360" w:lineRule="auto"/>
              <w:rPr>
                <w:rFonts w:ascii="宋体" w:hAnsi="宋体"/>
                <w:color w:val="auto"/>
                <w:sz w:val="24"/>
              </w:rPr>
            </w:pPr>
            <w:r>
              <w:rPr>
                <w:rFonts w:hint="eastAsia" w:ascii="宋体" w:hAnsi="宋体"/>
                <w:color w:val="auto"/>
                <w:sz w:val="24"/>
              </w:rPr>
              <w:t>（17）未满足合格投标人资格条件的；</w:t>
            </w:r>
          </w:p>
          <w:p>
            <w:pPr>
              <w:snapToGrid w:val="0"/>
              <w:spacing w:line="360" w:lineRule="auto"/>
              <w:rPr>
                <w:rFonts w:ascii="宋体" w:hAnsi="宋体"/>
                <w:color w:val="auto"/>
                <w:sz w:val="24"/>
              </w:rPr>
            </w:pPr>
            <w:r>
              <w:rPr>
                <w:rFonts w:hint="eastAsia" w:ascii="宋体" w:hAnsi="宋体"/>
                <w:color w:val="auto"/>
                <w:sz w:val="24"/>
              </w:rPr>
              <w:t>（18）未经过进口产品审批的货物，所投产品为进口的；</w:t>
            </w:r>
          </w:p>
          <w:p>
            <w:pPr>
              <w:snapToGrid w:val="0"/>
              <w:spacing w:line="360" w:lineRule="auto"/>
              <w:rPr>
                <w:rFonts w:ascii="宋体" w:hAnsi="宋体"/>
                <w:color w:val="auto"/>
                <w:sz w:val="24"/>
              </w:rPr>
            </w:pPr>
            <w:r>
              <w:rPr>
                <w:rFonts w:hint="eastAsia" w:ascii="宋体" w:hAnsi="宋体"/>
                <w:color w:val="auto"/>
                <w:sz w:val="24"/>
              </w:rPr>
              <w:t>（19）与本次招标项目设计、编制技术规格和其它文件的公司或提供咨询服务的公司包括其附属机构有关联的；</w:t>
            </w:r>
          </w:p>
          <w:p>
            <w:pPr>
              <w:snapToGrid w:val="0"/>
              <w:spacing w:line="360" w:lineRule="auto"/>
              <w:rPr>
                <w:rFonts w:ascii="宋体" w:hAnsi="宋体"/>
                <w:color w:val="auto"/>
                <w:sz w:val="24"/>
              </w:rPr>
            </w:pPr>
            <w:r>
              <w:rPr>
                <w:rFonts w:hint="eastAsia" w:ascii="宋体" w:hAnsi="宋体"/>
                <w:color w:val="auto"/>
                <w:sz w:val="24"/>
              </w:rPr>
              <w:t>（20）出现附件1评标标准和方法中无效投标规定的；</w:t>
            </w:r>
          </w:p>
          <w:p>
            <w:pPr>
              <w:snapToGrid w:val="0"/>
              <w:spacing w:line="360" w:lineRule="auto"/>
              <w:rPr>
                <w:rFonts w:ascii="宋体" w:hAnsi="宋体"/>
                <w:color w:val="auto"/>
                <w:sz w:val="24"/>
              </w:rPr>
            </w:pPr>
            <w:r>
              <w:rPr>
                <w:rFonts w:hint="eastAsia" w:ascii="宋体" w:hAnsi="宋体"/>
                <w:color w:val="auto"/>
                <w:sz w:val="24"/>
              </w:rPr>
              <w:t>（21）投标人的报价明显低于其他报价，使得其投标报价可能低于其个别成本的，有可能影响商品质量或不能诚信履约的，但不能合理说明原因或不能提供相关证明材料的；</w:t>
            </w:r>
          </w:p>
          <w:p>
            <w:pPr>
              <w:snapToGrid w:val="0"/>
              <w:spacing w:line="360" w:lineRule="auto"/>
              <w:rPr>
                <w:rFonts w:ascii="宋体" w:hAnsi="宋体"/>
                <w:color w:val="auto"/>
                <w:sz w:val="24"/>
              </w:rPr>
            </w:pPr>
            <w:r>
              <w:rPr>
                <w:rFonts w:hint="eastAsia" w:ascii="宋体" w:hAnsi="宋体"/>
                <w:color w:val="auto"/>
                <w:sz w:val="24"/>
              </w:rPr>
              <w:t>（22）投标人存在串通投标行为的；</w:t>
            </w:r>
          </w:p>
          <w:p>
            <w:pPr>
              <w:snapToGrid w:val="0"/>
              <w:spacing w:line="360" w:lineRule="auto"/>
              <w:rPr>
                <w:rFonts w:ascii="宋体" w:hAnsi="宋体"/>
                <w:color w:val="auto"/>
                <w:sz w:val="24"/>
              </w:rPr>
            </w:pPr>
            <w:r>
              <w:rPr>
                <w:rFonts w:hint="eastAsia" w:ascii="宋体" w:hAnsi="宋体"/>
                <w:color w:val="auto"/>
                <w:sz w:val="24"/>
              </w:rPr>
              <w:t>（23）投标人承诺的</w:t>
            </w:r>
            <w:r>
              <w:rPr>
                <w:rFonts w:hint="eastAsia" w:ascii="宋体" w:hAnsi="宋体" w:cs="宋体"/>
                <w:color w:val="auto"/>
                <w:sz w:val="24"/>
              </w:rPr>
              <w:t>服务期</w:t>
            </w:r>
            <w:r>
              <w:rPr>
                <w:rFonts w:hint="eastAsia" w:ascii="宋体" w:hAnsi="宋体"/>
                <w:color w:val="auto"/>
                <w:sz w:val="24"/>
              </w:rPr>
              <w:t>、交货地点、质保期、合同付款方式不满足招标文件要求的；</w:t>
            </w:r>
          </w:p>
          <w:p>
            <w:pPr>
              <w:pStyle w:val="2"/>
              <w:spacing w:line="360" w:lineRule="auto"/>
              <w:rPr>
                <w:rFonts w:hint="eastAsia" w:ascii="宋体" w:hAnsi="宋体"/>
                <w:color w:val="auto"/>
                <w:sz w:val="24"/>
              </w:rPr>
            </w:pPr>
            <w:r>
              <w:rPr>
                <w:rFonts w:hint="eastAsia" w:ascii="宋体" w:hAnsi="宋体"/>
                <w:color w:val="auto"/>
                <w:sz w:val="24"/>
              </w:rPr>
              <w:t>（24）投标人应如实详细填写技术参数和商务偏离表，应将技术参数逐条详细列在偏离表中，不得只简单列出规格型号，也不得在“投标响应”栏中仅出现“响应”字样，若无详细技术参数偏离表和商务偏离表或未按要求填写的，按无效投标处理。</w:t>
            </w:r>
          </w:p>
          <w:p>
            <w:pPr>
              <w:pStyle w:val="2"/>
              <w:spacing w:line="360" w:lineRule="auto"/>
              <w:rPr>
                <w:rFonts w:ascii="宋体" w:hAnsi="宋体"/>
                <w:b/>
                <w:bCs/>
                <w:color w:val="auto"/>
                <w:kern w:val="2"/>
                <w:sz w:val="24"/>
                <w:szCs w:val="24"/>
              </w:rPr>
            </w:pPr>
            <w:r>
              <w:rPr>
                <w:rFonts w:hint="eastAsia" w:ascii="宋体" w:hAnsi="宋体"/>
                <w:b/>
                <w:bCs/>
                <w:color w:val="auto"/>
                <w:sz w:val="24"/>
                <w:lang w:eastAsia="zh-CN"/>
              </w:rPr>
              <w:t>（</w:t>
            </w:r>
            <w:r>
              <w:rPr>
                <w:rFonts w:hint="eastAsia" w:ascii="宋体" w:hAnsi="宋体"/>
                <w:b/>
                <w:bCs/>
                <w:color w:val="auto"/>
                <w:sz w:val="24"/>
                <w:lang w:val="en-US" w:eastAsia="zh-CN"/>
              </w:rPr>
              <w:t>25</w:t>
            </w:r>
            <w:r>
              <w:rPr>
                <w:rFonts w:hint="eastAsia" w:ascii="宋体" w:hAnsi="宋体"/>
                <w:b/>
                <w:bCs/>
                <w:color w:val="auto"/>
                <w:sz w:val="24"/>
                <w:lang w:eastAsia="zh-CN"/>
              </w:rPr>
              <w:t>）</w:t>
            </w:r>
            <w:r>
              <w:rPr>
                <w:rFonts w:hint="eastAsia" w:ascii="宋体" w:hAnsi="宋体"/>
                <w:b/>
                <w:bCs/>
                <w:color w:val="auto"/>
                <w:kern w:val="2"/>
                <w:sz w:val="24"/>
                <w:szCs w:val="24"/>
              </w:rPr>
              <w:t>投标人可对其中一个或者所有合同包进行投标及报价，但一个投标人只能成为其中 1 个合同包的中标人。推荐中标候选人从第一个合同包开始推荐，如投标人已推荐为合同包 1 的中标候选人，在合同包 2中即使综合得分高于其他投标人，仍不再被推荐为该合同包的中标候选人，中标候选人由次高的投标人获得推荐，各投标人须对此条款进行专项承诺，未按此条款进行专项承诺的，按无效投标处理。</w:t>
            </w:r>
          </w:p>
          <w:p>
            <w:pPr>
              <w:spacing w:line="360" w:lineRule="auto"/>
              <w:rPr>
                <w:rFonts w:ascii="宋体" w:hAnsi="宋体" w:cs="宋体"/>
                <w:b/>
                <w:bCs/>
                <w:color w:val="auto"/>
                <w:sz w:val="24"/>
                <w:szCs w:val="24"/>
              </w:rPr>
            </w:pPr>
            <w:r>
              <w:rPr>
                <w:rFonts w:hint="eastAsia" w:ascii="宋体" w:hAnsi="宋体"/>
                <w:b/>
                <w:bCs/>
                <w:color w:val="auto"/>
                <w:sz w:val="24"/>
                <w:lang w:eastAsia="zh-CN"/>
              </w:rPr>
              <w:t>（</w:t>
            </w:r>
            <w:r>
              <w:rPr>
                <w:rFonts w:hint="eastAsia" w:ascii="宋体" w:hAnsi="宋体"/>
                <w:b/>
                <w:bCs/>
                <w:color w:val="auto"/>
                <w:sz w:val="24"/>
                <w:lang w:val="en-US" w:eastAsia="zh-CN"/>
              </w:rPr>
              <w:t>26</w:t>
            </w:r>
            <w:r>
              <w:rPr>
                <w:rFonts w:hint="eastAsia" w:ascii="宋体" w:hAnsi="宋体"/>
                <w:b/>
                <w:bCs/>
                <w:color w:val="auto"/>
                <w:sz w:val="24"/>
                <w:lang w:eastAsia="zh-CN"/>
              </w:rPr>
              <w:t>）</w:t>
            </w:r>
            <w:r>
              <w:rPr>
                <w:rFonts w:hint="eastAsia" w:ascii="宋体" w:hAnsi="宋体" w:cs="宋体"/>
                <w:b/>
                <w:bCs/>
                <w:color w:val="auto"/>
                <w:sz w:val="24"/>
                <w:szCs w:val="24"/>
              </w:rPr>
              <w:t>承保区域分配由采购人和各合同包中标人三方进行协商后根据实际情况进行调整，投标人需对此项做出专项承诺，未提供的视为无效投标。</w:t>
            </w:r>
          </w:p>
          <w:p>
            <w:pPr>
              <w:spacing w:line="360" w:lineRule="auto"/>
              <w:rPr>
                <w:rFonts w:hint="eastAsia" w:ascii="宋体" w:hAnsi="宋体" w:eastAsia="宋体"/>
                <w:color w:val="auto"/>
                <w:sz w:val="24"/>
                <w:lang w:eastAsia="zh-CN"/>
              </w:rPr>
            </w:pPr>
            <w:r>
              <w:rPr>
                <w:rFonts w:hint="eastAsia" w:ascii="宋体" w:hAnsi="宋体"/>
                <w:b/>
                <w:bCs/>
                <w:color w:val="auto"/>
                <w:sz w:val="24"/>
                <w:lang w:eastAsia="zh-CN"/>
              </w:rPr>
              <w:t>（</w:t>
            </w:r>
            <w:r>
              <w:rPr>
                <w:rFonts w:hint="eastAsia" w:ascii="宋体" w:hAnsi="宋体"/>
                <w:b/>
                <w:bCs/>
                <w:color w:val="auto"/>
                <w:sz w:val="24"/>
                <w:lang w:val="en-US" w:eastAsia="zh-CN"/>
              </w:rPr>
              <w:t>27</w:t>
            </w:r>
            <w:r>
              <w:rPr>
                <w:rFonts w:hint="eastAsia" w:ascii="宋体" w:hAnsi="宋体"/>
                <w:b/>
                <w:bCs/>
                <w:color w:val="auto"/>
                <w:sz w:val="24"/>
                <w:lang w:eastAsia="zh-CN"/>
              </w:rPr>
              <w:t>）</w:t>
            </w:r>
            <w:r>
              <w:rPr>
                <w:rFonts w:hint="eastAsia" w:ascii="宋体" w:hAnsi="宋体" w:cs="宋体"/>
                <w:b/>
                <w:bCs/>
                <w:color w:val="auto"/>
                <w:sz w:val="24"/>
                <w:szCs w:val="24"/>
              </w:rPr>
              <w:t>在签订服务合同之后，采购人对各中标人在服务期限内的服务情况进行考核，考核结果合格的中标人，不得拒绝承保，中标人拒绝承保的，视为中标人违约，中标人应向采购人支付合同总价款5%的违约金，若违约金金额不足以弥补损失的，应另行赔偿采购人的损失。投标人需对此项做出专项承诺，未提供的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0" w:type="dxa"/>
            <w:noWrap/>
            <w:vAlign w:val="center"/>
          </w:tcPr>
          <w:p>
            <w:pPr>
              <w:spacing w:line="360" w:lineRule="auto"/>
              <w:jc w:val="center"/>
              <w:rPr>
                <w:rFonts w:ascii="宋体" w:hAnsi="宋体"/>
                <w:color w:val="auto"/>
                <w:sz w:val="24"/>
              </w:rPr>
            </w:pPr>
            <w:r>
              <w:rPr>
                <w:rFonts w:hint="eastAsia" w:ascii="宋体" w:hAnsi="宋体"/>
                <w:color w:val="auto"/>
                <w:sz w:val="24"/>
              </w:rPr>
              <w:t>11</w:t>
            </w:r>
          </w:p>
        </w:tc>
        <w:tc>
          <w:tcPr>
            <w:tcW w:w="741" w:type="dxa"/>
            <w:noWrap/>
            <w:vAlign w:val="center"/>
          </w:tcPr>
          <w:p>
            <w:pPr>
              <w:spacing w:line="360" w:lineRule="auto"/>
              <w:jc w:val="center"/>
              <w:rPr>
                <w:rFonts w:ascii="宋体" w:hAnsi="宋体"/>
                <w:color w:val="auto"/>
                <w:sz w:val="24"/>
              </w:rPr>
            </w:pPr>
            <w:r>
              <w:rPr>
                <w:rFonts w:hint="eastAsia" w:ascii="宋体" w:hAnsi="宋体"/>
                <w:color w:val="auto"/>
                <w:sz w:val="24"/>
              </w:rPr>
              <w:t>/</w:t>
            </w:r>
          </w:p>
        </w:tc>
        <w:tc>
          <w:tcPr>
            <w:tcW w:w="7764" w:type="dxa"/>
            <w:noWrap/>
            <w:vAlign w:val="center"/>
          </w:tcPr>
          <w:p>
            <w:pPr>
              <w:adjustRightInd w:val="0"/>
              <w:snapToGrid w:val="0"/>
              <w:spacing w:line="360" w:lineRule="auto"/>
              <w:rPr>
                <w:rFonts w:ascii="宋体" w:hAnsi="宋体" w:cs="Tahoma"/>
                <w:b/>
                <w:color w:val="auto"/>
                <w:kern w:val="0"/>
                <w:sz w:val="24"/>
              </w:rPr>
            </w:pPr>
            <w:r>
              <w:rPr>
                <w:rFonts w:hint="eastAsia" w:ascii="宋体" w:hAnsi="宋体" w:cs="Tahoma"/>
                <w:b/>
                <w:color w:val="auto"/>
                <w:kern w:val="0"/>
                <w:sz w:val="24"/>
              </w:rPr>
              <w:t>关于串通投标处理:</w:t>
            </w:r>
          </w:p>
          <w:p>
            <w:pPr>
              <w:widowControl/>
              <w:adjustRightInd w:val="0"/>
              <w:snapToGrid w:val="0"/>
              <w:spacing w:line="360" w:lineRule="auto"/>
              <w:ind w:firstLine="361" w:firstLineChars="150"/>
              <w:jc w:val="left"/>
              <w:rPr>
                <w:rFonts w:ascii="宋体" w:hAnsi="宋体" w:cs="Tahoma"/>
                <w:b/>
                <w:color w:val="auto"/>
                <w:kern w:val="0"/>
                <w:sz w:val="24"/>
              </w:rPr>
            </w:pPr>
            <w:r>
              <w:rPr>
                <w:rFonts w:hint="eastAsia" w:ascii="宋体" w:hAnsi="宋体" w:cs="Tahoma"/>
                <w:b/>
                <w:color w:val="auto"/>
                <w:kern w:val="0"/>
                <w:sz w:val="24"/>
              </w:rPr>
              <w:t>评标委员会在评标过程中发现投标人存在下列情形之一的，可认定其有串通投标行为，并做出其投标无效的决定：</w:t>
            </w:r>
          </w:p>
          <w:p>
            <w:pPr>
              <w:widowControl/>
              <w:adjustRightInd w:val="0"/>
              <w:snapToGrid w:val="0"/>
              <w:spacing w:line="360" w:lineRule="auto"/>
              <w:jc w:val="left"/>
              <w:rPr>
                <w:rFonts w:ascii="宋体" w:hAnsi="宋体" w:cs="Tahoma"/>
                <w:b/>
                <w:color w:val="auto"/>
                <w:kern w:val="0"/>
                <w:sz w:val="24"/>
              </w:rPr>
            </w:pPr>
            <w:r>
              <w:rPr>
                <w:rFonts w:hint="eastAsia" w:ascii="宋体" w:hAnsi="宋体" w:cs="Tahoma"/>
                <w:b/>
                <w:color w:val="auto"/>
                <w:kern w:val="0"/>
                <w:sz w:val="24"/>
              </w:rPr>
              <w:t>（1）不同投标人的投标文件错、漏之处一致或雷同，且不能合理解释的；</w:t>
            </w:r>
          </w:p>
          <w:p>
            <w:pPr>
              <w:widowControl/>
              <w:adjustRightInd w:val="0"/>
              <w:snapToGrid w:val="0"/>
              <w:spacing w:line="360" w:lineRule="auto"/>
              <w:jc w:val="left"/>
              <w:rPr>
                <w:rFonts w:ascii="宋体" w:hAnsi="宋体" w:cs="Tahoma"/>
                <w:b/>
                <w:color w:val="auto"/>
                <w:kern w:val="0"/>
                <w:sz w:val="24"/>
              </w:rPr>
            </w:pPr>
            <w:r>
              <w:rPr>
                <w:rFonts w:hint="eastAsia" w:ascii="宋体" w:hAnsi="宋体" w:cs="Tahoma"/>
                <w:b/>
                <w:color w:val="auto"/>
                <w:kern w:val="0"/>
                <w:sz w:val="24"/>
              </w:rPr>
              <w:t>（2）不同的投标人的法定代表人、委托代理人等由同一个单位缴纳社会保险的；</w:t>
            </w:r>
          </w:p>
          <w:p>
            <w:pPr>
              <w:widowControl/>
              <w:adjustRightInd w:val="0"/>
              <w:snapToGrid w:val="0"/>
              <w:spacing w:line="360" w:lineRule="auto"/>
              <w:jc w:val="left"/>
              <w:rPr>
                <w:rFonts w:ascii="宋体" w:hAnsi="宋体" w:cs="Tahoma"/>
                <w:b/>
                <w:color w:val="auto"/>
                <w:kern w:val="0"/>
                <w:sz w:val="24"/>
              </w:rPr>
            </w:pPr>
            <w:r>
              <w:rPr>
                <w:rFonts w:hint="eastAsia" w:ascii="宋体" w:hAnsi="宋体" w:cs="Tahoma"/>
                <w:b/>
                <w:color w:val="auto"/>
                <w:kern w:val="0"/>
                <w:sz w:val="24"/>
              </w:rPr>
              <w:t>（3）由同一人或分别由几个有利害关系人携带两个以上（含两个）</w:t>
            </w:r>
            <w:r>
              <w:rPr>
                <w:rFonts w:hint="eastAsia" w:ascii="宋体" w:hAnsi="宋体" w:cs="宋体"/>
                <w:b/>
                <w:color w:val="auto"/>
                <w:kern w:val="0"/>
                <w:sz w:val="24"/>
              </w:rPr>
              <w:t>投标人</w:t>
            </w:r>
            <w:r>
              <w:rPr>
                <w:rFonts w:hint="eastAsia" w:ascii="宋体" w:hAnsi="宋体" w:cs="Tahoma"/>
                <w:b/>
                <w:color w:val="auto"/>
                <w:kern w:val="0"/>
                <w:sz w:val="24"/>
              </w:rPr>
              <w:t>的企业资料参与资格审查、领取招标资料，或代表两个以上（含两个）</w:t>
            </w:r>
            <w:r>
              <w:rPr>
                <w:rFonts w:hint="eastAsia" w:ascii="宋体" w:hAnsi="宋体" w:cs="宋体"/>
                <w:b/>
                <w:color w:val="auto"/>
                <w:kern w:val="0"/>
                <w:sz w:val="24"/>
              </w:rPr>
              <w:t>投标人</w:t>
            </w:r>
            <w:r>
              <w:rPr>
                <w:rFonts w:hint="eastAsia" w:ascii="宋体" w:hAnsi="宋体" w:cs="Tahoma"/>
                <w:b/>
                <w:color w:val="auto"/>
                <w:kern w:val="0"/>
                <w:sz w:val="24"/>
              </w:rPr>
              <w:t>参加招标答疑会、交纳或退还投标保证金、开标的；</w:t>
            </w:r>
          </w:p>
          <w:p>
            <w:pPr>
              <w:spacing w:line="360" w:lineRule="auto"/>
              <w:rPr>
                <w:rFonts w:ascii="宋体" w:hAnsi="宋体"/>
                <w:color w:val="auto"/>
                <w:sz w:val="24"/>
              </w:rPr>
            </w:pPr>
            <w:r>
              <w:rPr>
                <w:rFonts w:hint="eastAsia" w:ascii="宋体" w:hAnsi="宋体" w:cs="Tahoma"/>
                <w:b/>
                <w:color w:val="auto"/>
                <w:kern w:val="0"/>
                <w:sz w:val="24"/>
              </w:rPr>
              <w:t>（4）有关法律、法规或规章规定的其他串通投标行为。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0" w:type="dxa"/>
            <w:noWrap/>
            <w:vAlign w:val="center"/>
          </w:tcPr>
          <w:p>
            <w:pPr>
              <w:spacing w:line="360" w:lineRule="auto"/>
              <w:jc w:val="center"/>
              <w:rPr>
                <w:rFonts w:ascii="宋体" w:hAnsi="宋体"/>
                <w:color w:val="auto"/>
                <w:sz w:val="24"/>
              </w:rPr>
            </w:pPr>
            <w:r>
              <w:rPr>
                <w:rFonts w:hint="eastAsia" w:ascii="宋体" w:hAnsi="宋体"/>
                <w:color w:val="auto"/>
                <w:sz w:val="24"/>
              </w:rPr>
              <w:t>12</w:t>
            </w:r>
          </w:p>
        </w:tc>
        <w:tc>
          <w:tcPr>
            <w:tcW w:w="741" w:type="dxa"/>
            <w:noWrap/>
            <w:vAlign w:val="center"/>
          </w:tcPr>
          <w:p>
            <w:pPr>
              <w:spacing w:line="360" w:lineRule="auto"/>
              <w:jc w:val="center"/>
              <w:rPr>
                <w:rFonts w:ascii="宋体" w:hAnsi="宋体"/>
                <w:b/>
                <w:color w:val="auto"/>
                <w:sz w:val="24"/>
              </w:rPr>
            </w:pPr>
            <w:r>
              <w:rPr>
                <w:rFonts w:hint="eastAsia" w:ascii="宋体" w:hAnsi="宋体"/>
                <w:b/>
                <w:color w:val="auto"/>
                <w:sz w:val="24"/>
              </w:rPr>
              <w:t>/</w:t>
            </w:r>
          </w:p>
        </w:tc>
        <w:tc>
          <w:tcPr>
            <w:tcW w:w="7764" w:type="dxa"/>
            <w:noWrap/>
            <w:vAlign w:val="center"/>
          </w:tcPr>
          <w:p>
            <w:pPr>
              <w:spacing w:line="360" w:lineRule="auto"/>
              <w:rPr>
                <w:rFonts w:ascii="宋体" w:hAnsi="宋体"/>
                <w:b/>
                <w:color w:val="auto"/>
                <w:sz w:val="24"/>
              </w:rPr>
            </w:pPr>
            <w:r>
              <w:rPr>
                <w:rFonts w:hint="eastAsia" w:ascii="宋体" w:hAnsi="宋体"/>
                <w:b/>
                <w:color w:val="auto"/>
                <w:sz w:val="24"/>
              </w:rPr>
              <w:t>废标条款：</w:t>
            </w:r>
          </w:p>
          <w:p>
            <w:pPr>
              <w:spacing w:line="360" w:lineRule="auto"/>
              <w:rPr>
                <w:rFonts w:ascii="宋体" w:hAnsi="宋体" w:cs="Tahoma"/>
                <w:color w:val="auto"/>
                <w:sz w:val="24"/>
              </w:rPr>
            </w:pPr>
            <w:r>
              <w:rPr>
                <w:rFonts w:hint="eastAsia" w:ascii="宋体" w:hAnsi="宋体" w:cs="Tahoma"/>
                <w:color w:val="auto"/>
                <w:sz w:val="24"/>
              </w:rPr>
              <w:t>根据《中华人民共和国政府采购法》第三十六条规定,</w:t>
            </w:r>
            <w:r>
              <w:rPr>
                <w:rFonts w:ascii="宋体" w:hAnsi="宋体" w:cs="Tahoma"/>
                <w:color w:val="auto"/>
                <w:sz w:val="24"/>
              </w:rPr>
              <w:t xml:space="preserve">在招标采购中，出现下列情形之一的，应予废标： </w:t>
            </w:r>
          </w:p>
          <w:p>
            <w:pPr>
              <w:spacing w:line="360" w:lineRule="auto"/>
              <w:rPr>
                <w:rFonts w:ascii="宋体" w:hAnsi="宋体" w:cs="Tahoma"/>
                <w:color w:val="auto"/>
                <w:sz w:val="24"/>
              </w:rPr>
            </w:pPr>
            <w:r>
              <w:rPr>
                <w:rFonts w:ascii="宋体" w:hAnsi="宋体" w:cs="Tahoma"/>
                <w:color w:val="auto"/>
                <w:sz w:val="24"/>
              </w:rPr>
              <w:t xml:space="preserve">　　（一）符合专业条件的供应商或者对招标文件作实质响应的供应商不足三家的； </w:t>
            </w:r>
          </w:p>
          <w:p>
            <w:pPr>
              <w:spacing w:line="360" w:lineRule="auto"/>
              <w:rPr>
                <w:rFonts w:ascii="宋体" w:hAnsi="宋体" w:cs="Tahoma"/>
                <w:color w:val="auto"/>
                <w:sz w:val="24"/>
              </w:rPr>
            </w:pPr>
            <w:r>
              <w:rPr>
                <w:rFonts w:ascii="宋体" w:hAnsi="宋体" w:cs="Tahoma"/>
                <w:color w:val="auto"/>
                <w:sz w:val="24"/>
              </w:rPr>
              <w:t xml:space="preserve">　　（二）出现影响采购公正的违法、违规行为的； </w:t>
            </w:r>
          </w:p>
          <w:p>
            <w:pPr>
              <w:spacing w:line="360" w:lineRule="auto"/>
              <w:rPr>
                <w:rFonts w:ascii="宋体" w:hAnsi="宋体" w:cs="Tahoma"/>
                <w:color w:val="auto"/>
                <w:sz w:val="24"/>
              </w:rPr>
            </w:pPr>
            <w:r>
              <w:rPr>
                <w:rFonts w:ascii="宋体" w:hAnsi="宋体" w:cs="Tahoma"/>
                <w:color w:val="auto"/>
                <w:sz w:val="24"/>
              </w:rPr>
              <w:t>　　（三）</w:t>
            </w:r>
            <w:r>
              <w:rPr>
                <w:rFonts w:hint="eastAsia" w:ascii="宋体" w:hAnsi="宋体" w:cs="宋体"/>
                <w:color w:val="auto"/>
                <w:sz w:val="24"/>
              </w:rPr>
              <w:t>投标人</w:t>
            </w:r>
            <w:r>
              <w:rPr>
                <w:rFonts w:ascii="宋体" w:hAnsi="宋体" w:cs="Tahoma"/>
                <w:color w:val="auto"/>
                <w:sz w:val="24"/>
              </w:rPr>
              <w:t xml:space="preserve">的报价均超过了采购预算，采购人不能支付的； </w:t>
            </w:r>
          </w:p>
          <w:p>
            <w:pPr>
              <w:spacing w:line="360" w:lineRule="auto"/>
              <w:rPr>
                <w:rFonts w:ascii="宋体" w:hAnsi="宋体"/>
                <w:b/>
                <w:color w:val="auto"/>
                <w:sz w:val="24"/>
              </w:rPr>
            </w:pPr>
            <w:r>
              <w:rPr>
                <w:rFonts w:ascii="宋体" w:hAnsi="宋体" w:cs="Tahoma"/>
                <w:color w:val="auto"/>
                <w:sz w:val="24"/>
              </w:rPr>
              <w:t>　　（四）因重大变故，采购任务取消的。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0" w:type="dxa"/>
            <w:noWrap/>
            <w:vAlign w:val="center"/>
          </w:tcPr>
          <w:p>
            <w:pPr>
              <w:spacing w:line="360" w:lineRule="auto"/>
              <w:jc w:val="center"/>
              <w:rPr>
                <w:rFonts w:ascii="宋体" w:hAnsi="宋体"/>
                <w:color w:val="auto"/>
                <w:sz w:val="24"/>
              </w:rPr>
            </w:pPr>
            <w:r>
              <w:rPr>
                <w:rFonts w:hint="eastAsia" w:ascii="宋体" w:hAnsi="宋体"/>
                <w:color w:val="auto"/>
                <w:sz w:val="24"/>
              </w:rPr>
              <w:t>13</w:t>
            </w:r>
          </w:p>
        </w:tc>
        <w:tc>
          <w:tcPr>
            <w:tcW w:w="741" w:type="dxa"/>
            <w:noWrap/>
            <w:vAlign w:val="center"/>
          </w:tcPr>
          <w:p>
            <w:pPr>
              <w:spacing w:line="360" w:lineRule="auto"/>
              <w:jc w:val="center"/>
              <w:rPr>
                <w:rFonts w:ascii="宋体" w:hAnsi="宋体"/>
                <w:b/>
                <w:color w:val="auto"/>
                <w:sz w:val="24"/>
              </w:rPr>
            </w:pPr>
            <w:r>
              <w:rPr>
                <w:rFonts w:hint="eastAsia" w:ascii="宋体" w:hAnsi="宋体"/>
                <w:b/>
                <w:color w:val="auto"/>
                <w:sz w:val="24"/>
              </w:rPr>
              <w:t>/</w:t>
            </w:r>
          </w:p>
        </w:tc>
        <w:tc>
          <w:tcPr>
            <w:tcW w:w="7764" w:type="dxa"/>
            <w:noWrap/>
            <w:vAlign w:val="center"/>
          </w:tcPr>
          <w:p>
            <w:pPr>
              <w:spacing w:line="360" w:lineRule="auto"/>
              <w:rPr>
                <w:rFonts w:ascii="宋体" w:hAnsi="宋体"/>
                <w:b/>
                <w:color w:val="auto"/>
                <w:sz w:val="24"/>
              </w:rPr>
            </w:pPr>
            <w:r>
              <w:rPr>
                <w:rFonts w:hint="eastAsia" w:ascii="宋体" w:hAnsi="宋体"/>
                <w:b/>
                <w:color w:val="auto"/>
                <w:sz w:val="24"/>
              </w:rPr>
              <w:t>重大偏差与细微偏差：</w:t>
            </w:r>
          </w:p>
          <w:p>
            <w:pPr>
              <w:spacing w:line="360" w:lineRule="auto"/>
              <w:rPr>
                <w:b/>
                <w:color w:val="auto"/>
                <w:sz w:val="24"/>
              </w:rPr>
            </w:pPr>
            <w:r>
              <w:rPr>
                <w:rFonts w:hint="eastAsia"/>
                <w:b/>
                <w:color w:val="auto"/>
                <w:sz w:val="24"/>
              </w:rPr>
              <w:t>以下为重大偏差与细微偏差的条款，请各投标人认真审阅。</w:t>
            </w:r>
          </w:p>
          <w:p>
            <w:pPr>
              <w:spacing w:line="360" w:lineRule="auto"/>
              <w:rPr>
                <w:b/>
                <w:color w:val="auto"/>
                <w:sz w:val="24"/>
              </w:rPr>
            </w:pPr>
            <w:r>
              <w:rPr>
                <w:rFonts w:hint="eastAsia"/>
                <w:b/>
                <w:color w:val="auto"/>
                <w:sz w:val="24"/>
              </w:rPr>
              <w:t>（一）重大偏差：</w:t>
            </w:r>
          </w:p>
          <w:p>
            <w:pPr>
              <w:spacing w:line="360" w:lineRule="auto"/>
              <w:rPr>
                <w:rFonts w:ascii="宋体" w:hAnsi="宋体"/>
                <w:color w:val="auto"/>
                <w:sz w:val="24"/>
              </w:rPr>
            </w:pPr>
            <w:r>
              <w:rPr>
                <w:rFonts w:hint="eastAsia" w:ascii="宋体" w:hAnsi="宋体"/>
                <w:color w:val="auto"/>
                <w:sz w:val="24"/>
              </w:rPr>
              <w:t>1、投标文件未按招标文件要求加盖公章并由法定代表人或其书面授权的代理人签字的；</w:t>
            </w:r>
          </w:p>
          <w:p>
            <w:pPr>
              <w:adjustRightInd w:val="0"/>
              <w:spacing w:line="360" w:lineRule="auto"/>
              <w:rPr>
                <w:rFonts w:ascii="宋体" w:hAnsi="宋体"/>
                <w:color w:val="auto"/>
                <w:sz w:val="24"/>
              </w:rPr>
            </w:pPr>
            <w:r>
              <w:rPr>
                <w:rFonts w:hint="eastAsia" w:ascii="宋体" w:hAnsi="宋体"/>
                <w:color w:val="auto"/>
                <w:sz w:val="24"/>
              </w:rPr>
              <w:t>2、投标联合体未提交联合体协议的；</w:t>
            </w:r>
          </w:p>
          <w:p>
            <w:pPr>
              <w:spacing w:line="360" w:lineRule="auto"/>
              <w:rPr>
                <w:rFonts w:ascii="宋体" w:hAnsi="宋体"/>
                <w:color w:val="auto"/>
                <w:sz w:val="24"/>
              </w:rPr>
            </w:pPr>
            <w:r>
              <w:rPr>
                <w:rFonts w:hint="eastAsia" w:ascii="宋体" w:hAnsi="宋体"/>
                <w:color w:val="auto"/>
                <w:sz w:val="24"/>
              </w:rPr>
              <w:t>3、投标文件载明的招标项目完成期限超过招标文件规定的；</w:t>
            </w:r>
          </w:p>
          <w:p>
            <w:pPr>
              <w:spacing w:line="360" w:lineRule="auto"/>
              <w:rPr>
                <w:rFonts w:ascii="宋体" w:hAnsi="宋体"/>
                <w:color w:val="auto"/>
                <w:sz w:val="24"/>
              </w:rPr>
            </w:pPr>
            <w:r>
              <w:rPr>
                <w:rFonts w:hint="eastAsia" w:ascii="宋体" w:hAnsi="宋体"/>
                <w:color w:val="auto"/>
                <w:sz w:val="24"/>
              </w:rPr>
              <w:t>4、明显不符合技术规格、技术标准的要求；</w:t>
            </w:r>
          </w:p>
          <w:p>
            <w:pPr>
              <w:spacing w:line="360" w:lineRule="auto"/>
              <w:rPr>
                <w:rFonts w:ascii="宋体" w:hAnsi="宋体"/>
                <w:color w:val="auto"/>
                <w:sz w:val="24"/>
              </w:rPr>
            </w:pPr>
            <w:r>
              <w:rPr>
                <w:rFonts w:hint="eastAsia" w:ascii="宋体" w:hAnsi="宋体"/>
                <w:color w:val="auto"/>
                <w:sz w:val="24"/>
              </w:rPr>
              <w:t>5、投标文件载明的货物包装方式、检验标准和方法等不符合招标文件的要求；</w:t>
            </w:r>
          </w:p>
          <w:p>
            <w:pPr>
              <w:spacing w:line="360" w:lineRule="auto"/>
              <w:rPr>
                <w:rFonts w:ascii="宋体" w:hAnsi="宋体"/>
                <w:color w:val="auto"/>
                <w:sz w:val="24"/>
              </w:rPr>
            </w:pPr>
            <w:r>
              <w:rPr>
                <w:rFonts w:hint="eastAsia" w:ascii="宋体" w:hAnsi="宋体"/>
                <w:color w:val="auto"/>
                <w:sz w:val="24"/>
              </w:rPr>
              <w:t>6、投标文件中附有招标人不能接受的条件；</w:t>
            </w:r>
          </w:p>
          <w:p>
            <w:pPr>
              <w:spacing w:line="360" w:lineRule="auto"/>
              <w:rPr>
                <w:rFonts w:ascii="宋体" w:hAnsi="宋体"/>
                <w:color w:val="auto"/>
                <w:sz w:val="24"/>
              </w:rPr>
            </w:pPr>
            <w:r>
              <w:rPr>
                <w:rFonts w:hint="eastAsia" w:ascii="宋体" w:hAnsi="宋体"/>
                <w:color w:val="auto"/>
                <w:sz w:val="24"/>
              </w:rPr>
              <w:t>7、不符合招标文件中规定的其他实质性条款；</w:t>
            </w:r>
          </w:p>
          <w:p>
            <w:pPr>
              <w:spacing w:line="360" w:lineRule="auto"/>
              <w:rPr>
                <w:b/>
                <w:color w:val="auto"/>
                <w:sz w:val="24"/>
              </w:rPr>
            </w:pPr>
            <w:r>
              <w:rPr>
                <w:rFonts w:hint="eastAsia"/>
                <w:b/>
                <w:color w:val="auto"/>
                <w:sz w:val="24"/>
              </w:rPr>
              <w:t>注：</w:t>
            </w:r>
            <w:r>
              <w:rPr>
                <w:rFonts w:hint="eastAsia" w:ascii="宋体" w:hAnsi="宋体" w:cs="宋体"/>
                <w:b/>
                <w:color w:val="auto"/>
                <w:sz w:val="24"/>
              </w:rPr>
              <w:t>投标人</w:t>
            </w:r>
            <w:r>
              <w:rPr>
                <w:rFonts w:hint="eastAsia"/>
                <w:b/>
                <w:color w:val="auto"/>
                <w:sz w:val="24"/>
              </w:rPr>
              <w:t>的投标文件若有上述情形之一的，认定为未对招标文件作出实质性响应，作无效投标处理。</w:t>
            </w:r>
          </w:p>
          <w:p>
            <w:pPr>
              <w:spacing w:line="360" w:lineRule="auto"/>
              <w:rPr>
                <w:rFonts w:ascii="宋体" w:hAnsi="宋体"/>
                <w:color w:val="auto"/>
                <w:sz w:val="24"/>
              </w:rPr>
            </w:pPr>
            <w:r>
              <w:rPr>
                <w:rFonts w:hint="eastAsia"/>
                <w:b/>
                <w:color w:val="auto"/>
                <w:sz w:val="24"/>
              </w:rPr>
              <w:t>（二）、细微偏差：</w:t>
            </w:r>
            <w:r>
              <w:rPr>
                <w:rFonts w:hint="eastAsia" w:ascii="宋体" w:hAnsi="宋体"/>
                <w:color w:val="auto"/>
                <w:sz w:val="24"/>
              </w:rPr>
              <w:t>投标文件在实质上响应招标文件要求，但在个别地方存在漏项或者提供了不完整的技术信息和数据等情况，并且补正这些遗漏或者不完整不会对其他</w:t>
            </w:r>
            <w:r>
              <w:rPr>
                <w:rFonts w:hint="eastAsia" w:ascii="宋体" w:hAnsi="宋体" w:cs="宋体"/>
                <w:color w:val="auto"/>
                <w:sz w:val="24"/>
              </w:rPr>
              <w:t>投标人</w:t>
            </w:r>
            <w:r>
              <w:rPr>
                <w:rFonts w:hint="eastAsia" w:ascii="宋体" w:hAnsi="宋体"/>
                <w:color w:val="auto"/>
                <w:sz w:val="24"/>
              </w:rPr>
              <w:t>造成不公平的结果。细微偏差不影响投标文件的有效性。</w:t>
            </w:r>
          </w:p>
          <w:p>
            <w:pPr>
              <w:spacing w:line="360" w:lineRule="auto"/>
              <w:ind w:firstLine="235" w:firstLineChars="98"/>
              <w:rPr>
                <w:rFonts w:ascii="宋体" w:hAnsi="宋体"/>
                <w:b/>
                <w:color w:val="auto"/>
                <w:sz w:val="24"/>
              </w:rPr>
            </w:pPr>
            <w:r>
              <w:rPr>
                <w:rFonts w:hint="eastAsia" w:ascii="宋体" w:hAnsi="宋体"/>
                <w:color w:val="auto"/>
                <w:sz w:val="24"/>
              </w:rPr>
              <w:t>评标委员会应当书面要求存在细微偏差的</w:t>
            </w:r>
            <w:r>
              <w:rPr>
                <w:rFonts w:hint="eastAsia" w:ascii="宋体" w:hAnsi="宋体" w:cs="宋体"/>
                <w:color w:val="auto"/>
                <w:sz w:val="24"/>
              </w:rPr>
              <w:t>投标人</w:t>
            </w:r>
            <w:r>
              <w:rPr>
                <w:rFonts w:hint="eastAsia" w:ascii="宋体" w:hAnsi="宋体"/>
                <w:color w:val="auto"/>
                <w:sz w:val="24"/>
              </w:rPr>
              <w:t>在评标结束前予以补正。补正的程序和方法按照招标文件</w:t>
            </w:r>
            <w:r>
              <w:rPr>
                <w:rFonts w:hint="eastAsia" w:ascii="宋体" w:hAnsi="宋体" w:cs="宋体"/>
                <w:color w:val="auto"/>
                <w:sz w:val="24"/>
              </w:rPr>
              <w:t>投标人</w:t>
            </w:r>
            <w:r>
              <w:rPr>
                <w:rFonts w:hint="eastAsia" w:ascii="宋体" w:hAnsi="宋体"/>
                <w:color w:val="auto"/>
                <w:sz w:val="24"/>
              </w:rPr>
              <w:t>须知第18条的规定执行。无法补正的，可在评审时对细微偏差作不利于该</w:t>
            </w:r>
            <w:r>
              <w:rPr>
                <w:rFonts w:hint="eastAsia" w:ascii="宋体" w:hAnsi="宋体" w:cs="宋体"/>
                <w:color w:val="auto"/>
                <w:sz w:val="24"/>
              </w:rPr>
              <w:t>投标人</w:t>
            </w:r>
            <w:r>
              <w:rPr>
                <w:rFonts w:hint="eastAsia" w:ascii="宋体" w:hAnsi="宋体"/>
                <w:color w:val="auto"/>
                <w:sz w:val="24"/>
              </w:rPr>
              <w:t>的认定。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0" w:type="dxa"/>
            <w:noWrap/>
            <w:vAlign w:val="center"/>
          </w:tcPr>
          <w:p>
            <w:pPr>
              <w:spacing w:line="360" w:lineRule="auto"/>
              <w:jc w:val="center"/>
              <w:rPr>
                <w:rFonts w:ascii="宋体" w:hAnsi="宋体"/>
                <w:color w:val="auto"/>
                <w:sz w:val="24"/>
              </w:rPr>
            </w:pPr>
            <w:r>
              <w:rPr>
                <w:rFonts w:hint="eastAsia" w:ascii="宋体" w:hAnsi="宋体"/>
                <w:color w:val="auto"/>
                <w:sz w:val="24"/>
              </w:rPr>
              <w:t>14</w:t>
            </w:r>
          </w:p>
        </w:tc>
        <w:tc>
          <w:tcPr>
            <w:tcW w:w="741" w:type="dxa"/>
            <w:noWrap/>
            <w:vAlign w:val="center"/>
          </w:tcPr>
          <w:p>
            <w:pPr>
              <w:spacing w:line="360" w:lineRule="auto"/>
              <w:jc w:val="center"/>
              <w:rPr>
                <w:rFonts w:ascii="宋体" w:hAnsi="宋体"/>
                <w:color w:val="auto"/>
                <w:sz w:val="24"/>
              </w:rPr>
            </w:pPr>
            <w:r>
              <w:rPr>
                <w:rFonts w:hint="eastAsia" w:ascii="宋体" w:hAnsi="宋体"/>
                <w:color w:val="auto"/>
                <w:sz w:val="24"/>
              </w:rPr>
              <w:t>/</w:t>
            </w:r>
          </w:p>
        </w:tc>
        <w:tc>
          <w:tcPr>
            <w:tcW w:w="7764" w:type="dxa"/>
            <w:noWrap/>
            <w:vAlign w:val="center"/>
          </w:tcPr>
          <w:p>
            <w:pPr>
              <w:widowControl/>
              <w:spacing w:line="360" w:lineRule="auto"/>
              <w:ind w:firstLine="354" w:firstLineChars="147"/>
              <w:jc w:val="left"/>
              <w:rPr>
                <w:rFonts w:ascii="宋体" w:hAnsi="宋体" w:cs="宋体"/>
                <w:b/>
                <w:color w:val="auto"/>
                <w:kern w:val="0"/>
                <w:sz w:val="24"/>
              </w:rPr>
            </w:pPr>
            <w:r>
              <w:rPr>
                <w:rFonts w:hint="eastAsia"/>
                <w:b/>
                <w:color w:val="auto"/>
                <w:sz w:val="24"/>
              </w:rPr>
              <w:t>根据财政部公布第87号令《政府采购货物和服务招标投标管理办法》规定， 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0" w:type="dxa"/>
            <w:noWrap/>
            <w:vAlign w:val="center"/>
          </w:tcPr>
          <w:p>
            <w:pPr>
              <w:spacing w:line="360" w:lineRule="auto"/>
              <w:jc w:val="center"/>
              <w:rPr>
                <w:rFonts w:ascii="宋体" w:hAnsi="宋体"/>
                <w:color w:val="auto"/>
                <w:sz w:val="24"/>
              </w:rPr>
            </w:pPr>
            <w:r>
              <w:rPr>
                <w:rFonts w:hint="eastAsia" w:ascii="宋体" w:hAnsi="宋体"/>
                <w:color w:val="auto"/>
                <w:sz w:val="24"/>
              </w:rPr>
              <w:t>15</w:t>
            </w:r>
          </w:p>
        </w:tc>
        <w:tc>
          <w:tcPr>
            <w:tcW w:w="741" w:type="dxa"/>
            <w:noWrap/>
            <w:vAlign w:val="center"/>
          </w:tcPr>
          <w:p>
            <w:pPr>
              <w:spacing w:line="360" w:lineRule="auto"/>
              <w:jc w:val="center"/>
              <w:rPr>
                <w:rFonts w:ascii="宋体" w:hAnsi="宋体"/>
                <w:color w:val="auto"/>
                <w:sz w:val="24"/>
              </w:rPr>
            </w:pPr>
            <w:r>
              <w:rPr>
                <w:rFonts w:hint="eastAsia" w:ascii="宋体" w:hAnsi="宋体"/>
                <w:color w:val="auto"/>
                <w:sz w:val="24"/>
              </w:rPr>
              <w:t>24.1</w:t>
            </w:r>
          </w:p>
        </w:tc>
        <w:tc>
          <w:tcPr>
            <w:tcW w:w="7764" w:type="dxa"/>
            <w:noWrap/>
            <w:vAlign w:val="center"/>
          </w:tcPr>
          <w:p>
            <w:pPr>
              <w:spacing w:line="360" w:lineRule="auto"/>
              <w:rPr>
                <w:rFonts w:ascii="宋体" w:hAnsi="宋体"/>
                <w:color w:val="auto"/>
                <w:sz w:val="24"/>
              </w:rPr>
            </w:pPr>
            <w:r>
              <w:rPr>
                <w:rFonts w:hint="eastAsia" w:ascii="宋体" w:hAnsi="宋体"/>
                <w:color w:val="auto"/>
                <w:sz w:val="24"/>
              </w:rPr>
              <w:t>招标项目行政监督部门：</w:t>
            </w:r>
            <w:r>
              <w:rPr>
                <w:rFonts w:hint="eastAsia" w:ascii="宋体" w:hAnsi="宋体"/>
                <w:b/>
                <w:color w:val="auto"/>
                <w:sz w:val="24"/>
                <w:shd w:val="pct10" w:color="auto" w:fill="FFFFFF"/>
              </w:rPr>
              <w:t>采购人监督管理部门</w:t>
            </w:r>
          </w:p>
        </w:tc>
      </w:tr>
    </w:tbl>
    <w:p>
      <w:pPr>
        <w:spacing w:line="360" w:lineRule="auto"/>
        <w:rPr>
          <w:rFonts w:ascii="宋体" w:hAnsi="宋体"/>
          <w:b/>
          <w:color w:val="auto"/>
          <w:sz w:val="24"/>
        </w:rPr>
      </w:pPr>
    </w:p>
    <w:p>
      <w:pPr>
        <w:spacing w:line="360" w:lineRule="auto"/>
        <w:rPr>
          <w:rFonts w:ascii="宋体" w:hAnsi="宋体"/>
          <w:b/>
          <w:color w:val="auto"/>
          <w:sz w:val="24"/>
        </w:rPr>
      </w:pPr>
      <w:r>
        <w:rPr>
          <w:rFonts w:hint="eastAsia" w:ascii="宋体" w:hAnsi="宋体"/>
          <w:b/>
          <w:color w:val="auto"/>
          <w:sz w:val="24"/>
        </w:rPr>
        <w:t xml:space="preserve">附1 </w:t>
      </w:r>
    </w:p>
    <w:p>
      <w:pPr>
        <w:spacing w:line="440" w:lineRule="exact"/>
        <w:ind w:firstLine="482" w:firstLineChars="200"/>
        <w:rPr>
          <w:rFonts w:ascii="宋体" w:hAnsi="宋体"/>
          <w:color w:val="auto"/>
        </w:rPr>
      </w:pPr>
      <w:r>
        <w:rPr>
          <w:rFonts w:hint="eastAsia" w:ascii="宋体" w:hAnsi="宋体"/>
          <w:b/>
          <w:bCs/>
          <w:color w:val="auto"/>
          <w:sz w:val="24"/>
        </w:rPr>
        <w:t>评标标准和方法（</w:t>
      </w:r>
      <w:r>
        <w:rPr>
          <w:rFonts w:hint="eastAsia" w:ascii="宋体" w:hAnsi="宋体"/>
          <w:b/>
          <w:bCs/>
          <w:color w:val="auto"/>
          <w:sz w:val="24"/>
          <w:shd w:val="pct10" w:color="auto" w:fill="FFFFFF"/>
        </w:rPr>
        <w:t>分技术商务部分和报价部分两阶段评标</w:t>
      </w:r>
      <w:r>
        <w:rPr>
          <w:rFonts w:hint="eastAsia" w:ascii="宋体" w:hAnsi="宋体"/>
          <w:b/>
          <w:bCs/>
          <w:color w:val="auto"/>
          <w:sz w:val="24"/>
        </w:rPr>
        <w:t>）:</w:t>
      </w:r>
    </w:p>
    <w:p>
      <w:pPr>
        <w:spacing w:line="400" w:lineRule="exact"/>
        <w:ind w:firstLine="470" w:firstLineChars="196"/>
        <w:rPr>
          <w:rFonts w:ascii="宋体" w:hAnsi="宋体"/>
          <w:color w:val="auto"/>
          <w:sz w:val="24"/>
          <w:shd w:val="pct10" w:color="auto" w:fill="FFFFFF"/>
        </w:rPr>
      </w:pPr>
      <w:r>
        <w:rPr>
          <w:rFonts w:hint="eastAsia" w:ascii="宋体" w:hAnsi="宋体"/>
          <w:color w:val="auto"/>
          <w:sz w:val="24"/>
          <w:shd w:val="pct10" w:color="auto" w:fill="FFFFFF"/>
        </w:rPr>
        <w:t>本项目（</w:t>
      </w:r>
      <w:r>
        <w:rPr>
          <w:rFonts w:hint="eastAsia" w:ascii="宋体" w:hAnsi="宋体"/>
          <w:b/>
          <w:bCs/>
          <w:color w:val="auto"/>
          <w:sz w:val="24"/>
          <w:shd w:val="pct10" w:color="auto" w:fill="FFFFFF"/>
        </w:rPr>
        <w:t>合同包1和合同包2）</w:t>
      </w:r>
      <w:r>
        <w:rPr>
          <w:rFonts w:hint="eastAsia" w:ascii="宋体" w:hAnsi="宋体"/>
          <w:color w:val="auto"/>
          <w:sz w:val="24"/>
          <w:shd w:val="pct10" w:color="auto" w:fill="FFFFFF"/>
        </w:rPr>
        <w:t>采用</w:t>
      </w:r>
      <w:r>
        <w:rPr>
          <w:rFonts w:hint="eastAsia" w:ascii="宋体" w:hAnsi="宋体"/>
          <w:b/>
          <w:color w:val="auto"/>
          <w:sz w:val="24"/>
          <w:shd w:val="pct10" w:color="auto" w:fill="FFFFFF"/>
        </w:rPr>
        <w:t>综合评分法</w:t>
      </w:r>
      <w:r>
        <w:rPr>
          <w:rFonts w:hint="eastAsia" w:ascii="宋体" w:hAnsi="宋体"/>
          <w:color w:val="auto"/>
          <w:sz w:val="24"/>
          <w:shd w:val="pct10" w:color="auto" w:fill="FFFFFF"/>
        </w:rPr>
        <w:t>，分两阶段评标，第一阶段评技术商务部分，第二阶段评报价部分。</w:t>
      </w:r>
    </w:p>
    <w:p>
      <w:pPr>
        <w:spacing w:line="400" w:lineRule="exact"/>
        <w:ind w:firstLine="547" w:firstLineChars="228"/>
        <w:rPr>
          <w:rFonts w:ascii="宋体" w:hAnsi="宋体"/>
          <w:color w:val="auto"/>
          <w:sz w:val="24"/>
          <w:shd w:val="pct10" w:color="auto" w:fill="FFFFFF"/>
        </w:rPr>
      </w:pPr>
      <w:r>
        <w:rPr>
          <w:rFonts w:ascii="宋体" w:hAnsi="宋体"/>
          <w:color w:val="auto"/>
          <w:sz w:val="24"/>
          <w:shd w:val="pct10" w:color="auto" w:fill="FFFFFF"/>
        </w:rPr>
        <w:t>第一阶段进行技术商务部分的评标</w:t>
      </w:r>
      <w:r>
        <w:rPr>
          <w:rFonts w:hint="eastAsia" w:ascii="宋体" w:hAnsi="宋体"/>
          <w:color w:val="auto"/>
          <w:sz w:val="24"/>
          <w:shd w:val="pct10" w:color="auto" w:fill="FFFFFF"/>
        </w:rPr>
        <w:t>。</w:t>
      </w:r>
      <w:r>
        <w:rPr>
          <w:rFonts w:ascii="宋体" w:hAnsi="宋体"/>
          <w:color w:val="auto"/>
          <w:sz w:val="24"/>
          <w:shd w:val="pct10" w:color="auto" w:fill="FFFFFF"/>
        </w:rPr>
        <w:t>评标委员会按照政府采购法律法规及相关规定、招标文件规定的评标方法和标准，</w:t>
      </w:r>
      <w:r>
        <w:rPr>
          <w:rFonts w:hint="eastAsia" w:ascii="宋体" w:hAnsi="宋体"/>
          <w:color w:val="auto"/>
          <w:sz w:val="24"/>
          <w:shd w:val="pct10" w:color="auto" w:fill="FFFFFF"/>
        </w:rPr>
        <w:t>对通过资格及符合性审查的技术商务标进行评审，</w:t>
      </w:r>
      <w:r>
        <w:rPr>
          <w:rFonts w:ascii="宋体" w:hAnsi="宋体"/>
          <w:color w:val="auto"/>
          <w:sz w:val="24"/>
          <w:shd w:val="pct10" w:color="auto" w:fill="FFFFFF"/>
        </w:rPr>
        <w:t>评出实质性响应招标文件技术商务要求的</w:t>
      </w:r>
      <w:r>
        <w:rPr>
          <w:rFonts w:hint="eastAsia" w:ascii="宋体" w:hAnsi="宋体"/>
          <w:color w:val="auto"/>
          <w:sz w:val="24"/>
          <w:shd w:val="pct10" w:color="auto" w:fill="FFFFFF"/>
        </w:rPr>
        <w:t>投标人</w:t>
      </w:r>
      <w:r>
        <w:rPr>
          <w:rFonts w:ascii="宋体" w:hAnsi="宋体"/>
          <w:color w:val="auto"/>
          <w:sz w:val="24"/>
          <w:shd w:val="pct10" w:color="auto" w:fill="FFFFFF"/>
        </w:rPr>
        <w:t>，并计算出各</w:t>
      </w:r>
      <w:r>
        <w:rPr>
          <w:rFonts w:hint="eastAsia" w:ascii="宋体" w:hAnsi="宋体"/>
          <w:color w:val="auto"/>
          <w:sz w:val="24"/>
          <w:shd w:val="pct10" w:color="auto" w:fill="FFFFFF"/>
        </w:rPr>
        <w:t>投标人</w:t>
      </w:r>
      <w:r>
        <w:rPr>
          <w:rFonts w:ascii="宋体" w:hAnsi="宋体"/>
          <w:color w:val="auto"/>
          <w:sz w:val="24"/>
          <w:shd w:val="pct10" w:color="auto" w:fill="FFFFFF"/>
        </w:rPr>
        <w:t>技术商务部分的得分。</w:t>
      </w:r>
    </w:p>
    <w:p>
      <w:pPr>
        <w:spacing w:line="400" w:lineRule="exact"/>
        <w:ind w:firstLine="547" w:firstLineChars="228"/>
        <w:rPr>
          <w:rFonts w:ascii="宋体" w:hAnsi="宋体"/>
          <w:color w:val="auto"/>
          <w:sz w:val="24"/>
          <w:shd w:val="pct10" w:color="auto" w:fill="FFFFFF"/>
        </w:rPr>
      </w:pPr>
      <w:r>
        <w:rPr>
          <w:rFonts w:ascii="宋体" w:hAnsi="宋体"/>
          <w:color w:val="auto"/>
          <w:sz w:val="24"/>
          <w:shd w:val="pct10" w:color="auto" w:fill="FFFFFF"/>
        </w:rPr>
        <w:t>第二阶段进行</w:t>
      </w:r>
      <w:r>
        <w:rPr>
          <w:rFonts w:hint="eastAsia" w:ascii="宋体" w:hAnsi="宋体"/>
          <w:color w:val="auto"/>
          <w:sz w:val="24"/>
          <w:shd w:val="pct10" w:color="auto" w:fill="FFFFFF"/>
        </w:rPr>
        <w:t>报价</w:t>
      </w:r>
      <w:r>
        <w:rPr>
          <w:rFonts w:ascii="宋体" w:hAnsi="宋体"/>
          <w:color w:val="auto"/>
          <w:sz w:val="24"/>
          <w:shd w:val="pct10" w:color="auto" w:fill="FFFFFF"/>
        </w:rPr>
        <w:t>部分评标</w:t>
      </w:r>
      <w:r>
        <w:rPr>
          <w:rFonts w:hint="eastAsia" w:ascii="宋体" w:hAnsi="宋体"/>
          <w:color w:val="auto"/>
          <w:sz w:val="24"/>
          <w:shd w:val="pct10" w:color="auto" w:fill="FFFFFF"/>
        </w:rPr>
        <w:t>。经</w:t>
      </w:r>
      <w:r>
        <w:rPr>
          <w:rFonts w:ascii="宋体" w:hAnsi="宋体"/>
          <w:color w:val="auto"/>
          <w:sz w:val="24"/>
          <w:shd w:val="pct10" w:color="auto" w:fill="FFFFFF"/>
        </w:rPr>
        <w:t>第一阶段评选出的实质性响应招标文件技术商务要求的</w:t>
      </w:r>
      <w:r>
        <w:rPr>
          <w:rFonts w:hint="eastAsia" w:ascii="宋体" w:hAnsi="宋体"/>
          <w:color w:val="auto"/>
          <w:sz w:val="24"/>
          <w:shd w:val="pct10" w:color="auto" w:fill="FFFFFF"/>
        </w:rPr>
        <w:t>投标人</w:t>
      </w:r>
      <w:r>
        <w:rPr>
          <w:rFonts w:ascii="宋体" w:hAnsi="宋体"/>
          <w:color w:val="auto"/>
          <w:sz w:val="24"/>
          <w:shd w:val="pct10" w:color="auto" w:fill="FFFFFF"/>
        </w:rPr>
        <w:t>进入第二阶段评标。评标委员会按招标文件规定的评标方法和标准，评出实质性响应招标文件</w:t>
      </w:r>
      <w:r>
        <w:rPr>
          <w:rFonts w:hint="eastAsia" w:ascii="宋体" w:hAnsi="宋体"/>
          <w:color w:val="auto"/>
          <w:sz w:val="24"/>
          <w:shd w:val="pct10" w:color="auto" w:fill="FFFFFF"/>
        </w:rPr>
        <w:t>报价</w:t>
      </w:r>
      <w:r>
        <w:rPr>
          <w:rFonts w:ascii="宋体" w:hAnsi="宋体"/>
          <w:color w:val="auto"/>
          <w:sz w:val="24"/>
          <w:shd w:val="pct10" w:color="auto" w:fill="FFFFFF"/>
        </w:rPr>
        <w:t>要求的</w:t>
      </w:r>
      <w:r>
        <w:rPr>
          <w:rFonts w:hint="eastAsia" w:ascii="宋体" w:hAnsi="宋体"/>
          <w:color w:val="auto"/>
          <w:sz w:val="24"/>
          <w:shd w:val="pct10" w:color="auto" w:fill="FFFFFF"/>
        </w:rPr>
        <w:t>投标人</w:t>
      </w:r>
      <w:r>
        <w:rPr>
          <w:rFonts w:ascii="宋体" w:hAnsi="宋体"/>
          <w:color w:val="auto"/>
          <w:sz w:val="24"/>
          <w:shd w:val="pct10" w:color="auto" w:fill="FFFFFF"/>
        </w:rPr>
        <w:t>，并计算出各</w:t>
      </w:r>
      <w:r>
        <w:rPr>
          <w:rFonts w:hint="eastAsia" w:ascii="宋体" w:hAnsi="宋体"/>
          <w:color w:val="auto"/>
          <w:sz w:val="24"/>
          <w:shd w:val="pct10" w:color="auto" w:fill="FFFFFF"/>
        </w:rPr>
        <w:t>投标人</w:t>
      </w:r>
      <w:r>
        <w:rPr>
          <w:rFonts w:ascii="宋体" w:hAnsi="宋体"/>
          <w:color w:val="auto"/>
          <w:sz w:val="24"/>
          <w:shd w:val="pct10" w:color="auto" w:fill="FFFFFF"/>
        </w:rPr>
        <w:t>价格部分的得分</w:t>
      </w:r>
      <w:r>
        <w:rPr>
          <w:rFonts w:hint="eastAsia" w:ascii="宋体" w:hAnsi="宋体"/>
          <w:color w:val="auto"/>
          <w:sz w:val="24"/>
          <w:shd w:val="pct10" w:color="auto" w:fill="FFFFFF"/>
        </w:rPr>
        <w:t>和额外加分（如有）</w:t>
      </w:r>
      <w:r>
        <w:rPr>
          <w:rFonts w:ascii="宋体" w:hAnsi="宋体"/>
          <w:color w:val="auto"/>
          <w:sz w:val="24"/>
          <w:shd w:val="pct10" w:color="auto" w:fill="FFFFFF"/>
        </w:rPr>
        <w:t>。</w:t>
      </w:r>
    </w:p>
    <w:p>
      <w:pPr>
        <w:spacing w:line="440" w:lineRule="exact"/>
        <w:ind w:firstLine="435"/>
        <w:rPr>
          <w:rFonts w:ascii="宋体" w:hAnsi="宋体"/>
          <w:color w:val="auto"/>
          <w:sz w:val="24"/>
        </w:rPr>
      </w:pPr>
      <w:r>
        <w:rPr>
          <w:rFonts w:hint="eastAsia" w:ascii="宋体" w:hAnsi="宋体"/>
          <w:b/>
          <w:color w:val="auto"/>
          <w:sz w:val="24"/>
          <w:shd w:val="pct10" w:color="auto" w:fill="FFFFFF"/>
        </w:rPr>
        <w:t>汇总各合格投标人的综合得分</w:t>
      </w:r>
      <w:r>
        <w:rPr>
          <w:rFonts w:hint="eastAsia" w:ascii="宋体" w:hAnsi="宋体"/>
          <w:b/>
          <w:color w:val="auto"/>
          <w:kern w:val="0"/>
          <w:sz w:val="24"/>
          <w:shd w:val="pct10" w:color="auto" w:fill="FFFFFF"/>
        </w:rPr>
        <w:t>（</w:t>
      </w:r>
      <w:r>
        <w:rPr>
          <w:rFonts w:hint="eastAsia" w:ascii="宋体" w:hAnsi="宋体"/>
          <w:b/>
          <w:color w:val="auto"/>
          <w:sz w:val="24"/>
          <w:shd w:val="pct10" w:color="auto" w:fill="FFFFFF"/>
        </w:rPr>
        <w:t>取小数点后的2位数</w:t>
      </w:r>
      <w:r>
        <w:rPr>
          <w:rFonts w:hint="eastAsia" w:ascii="宋体" w:hAnsi="宋体"/>
          <w:b/>
          <w:color w:val="auto"/>
          <w:kern w:val="0"/>
          <w:sz w:val="24"/>
          <w:shd w:val="pct10" w:color="auto" w:fill="FFFFFF"/>
        </w:rPr>
        <w:t>）</w:t>
      </w:r>
      <w:r>
        <w:rPr>
          <w:rFonts w:hint="eastAsia" w:ascii="宋体" w:hAnsi="宋体"/>
          <w:b/>
          <w:color w:val="auto"/>
          <w:sz w:val="24"/>
          <w:shd w:val="pct10" w:color="auto" w:fill="FFFFFF"/>
        </w:rPr>
        <w:t>，并按各合同包的合格投标人的综合得分由高到低顺序各推荐一名中标候选人。</w:t>
      </w:r>
      <w:r>
        <w:rPr>
          <w:rFonts w:hint="eastAsia" w:ascii="宋体" w:hAnsi="宋体"/>
          <w:color w:val="auto"/>
          <w:sz w:val="24"/>
          <w:shd w:val="pct10" w:color="auto" w:fill="FFFFFF"/>
        </w:rPr>
        <w:t>若有相同的最高得分，则其中投标总价低的投标人将被排序在前；若有相同的最高得分且投标报价相同的，则按技术部分得分从高到低顺序进行排列，技术部分得分最高的投标人将被排序在前。（若同一合同包中同时获得节能、减排、环境标志认证的，在总分值或价格相同的情况下拥有认证数量最多的产品将被排序在前。）</w:t>
      </w:r>
    </w:p>
    <w:p>
      <w:pPr>
        <w:spacing w:line="400" w:lineRule="exact"/>
        <w:ind w:firstLine="723" w:firstLineChars="300"/>
        <w:rPr>
          <w:rFonts w:ascii="宋体" w:hAnsi="宋体"/>
          <w:b/>
          <w:color w:val="auto"/>
          <w:sz w:val="24"/>
        </w:rPr>
      </w:pPr>
      <w:r>
        <w:rPr>
          <w:rFonts w:hint="eastAsia" w:ascii="宋体" w:hAnsi="宋体"/>
          <w:b/>
          <w:color w:val="auto"/>
          <w:sz w:val="24"/>
        </w:rPr>
        <w:t>各合同包部分评分分值分布如下：</w:t>
      </w:r>
    </w:p>
    <w:p>
      <w:pPr>
        <w:spacing w:line="400" w:lineRule="exact"/>
        <w:ind w:firstLine="723" w:firstLineChars="300"/>
        <w:rPr>
          <w:rFonts w:ascii="宋体" w:hAnsi="宋体" w:cs="宋体"/>
          <w:b/>
          <w:color w:val="auto"/>
          <w:sz w:val="24"/>
        </w:rPr>
      </w:pPr>
      <w:r>
        <w:rPr>
          <w:rFonts w:hint="eastAsia" w:ascii="宋体" w:hAnsi="宋体" w:cs="宋体"/>
          <w:b/>
          <w:color w:val="auto"/>
          <w:sz w:val="24"/>
        </w:rPr>
        <w:t xml:space="preserve">PT：技术部分评分           </w:t>
      </w:r>
      <w:r>
        <w:rPr>
          <w:rFonts w:hint="eastAsia" w:ascii="宋体" w:hAnsi="宋体" w:cs="宋体"/>
          <w:b/>
          <w:color w:val="auto"/>
          <w:sz w:val="24"/>
          <w:shd w:val="pct10" w:color="auto" w:fill="FFFFFF"/>
        </w:rPr>
        <w:t>满分61分</w:t>
      </w:r>
    </w:p>
    <w:p>
      <w:pPr>
        <w:spacing w:line="400" w:lineRule="exact"/>
        <w:ind w:firstLine="723" w:firstLineChars="300"/>
        <w:rPr>
          <w:rFonts w:ascii="宋体" w:hAnsi="宋体" w:cs="宋体"/>
          <w:b/>
          <w:color w:val="auto"/>
          <w:sz w:val="24"/>
        </w:rPr>
      </w:pPr>
      <w:r>
        <w:rPr>
          <w:rFonts w:hint="eastAsia" w:ascii="宋体" w:hAnsi="宋体" w:cs="宋体"/>
          <w:b/>
          <w:color w:val="auto"/>
          <w:sz w:val="24"/>
        </w:rPr>
        <w:t xml:space="preserve">PB：商务部分评分           </w:t>
      </w:r>
      <w:r>
        <w:rPr>
          <w:rFonts w:hint="eastAsia" w:ascii="宋体" w:hAnsi="宋体" w:cs="宋体"/>
          <w:b/>
          <w:color w:val="auto"/>
          <w:sz w:val="24"/>
          <w:shd w:val="pct10" w:color="auto" w:fill="FFFFFF"/>
        </w:rPr>
        <w:t>满分24分</w:t>
      </w:r>
    </w:p>
    <w:p>
      <w:pPr>
        <w:spacing w:line="400" w:lineRule="exact"/>
        <w:ind w:left="959" w:leftChars="342" w:hanging="241" w:hangingChars="100"/>
        <w:rPr>
          <w:rFonts w:ascii="宋体" w:hAnsi="宋体" w:cs="宋体"/>
          <w:b/>
          <w:color w:val="auto"/>
          <w:sz w:val="24"/>
        </w:rPr>
      </w:pPr>
      <w:r>
        <w:rPr>
          <w:rFonts w:hint="eastAsia" w:ascii="宋体" w:hAnsi="宋体" w:cs="宋体"/>
          <w:b/>
          <w:color w:val="auto"/>
          <w:sz w:val="24"/>
        </w:rPr>
        <w:t xml:space="preserve">PF：报价部分评分           </w:t>
      </w:r>
      <w:r>
        <w:rPr>
          <w:rFonts w:hint="eastAsia" w:ascii="宋体" w:hAnsi="宋体" w:cs="宋体"/>
          <w:b/>
          <w:color w:val="auto"/>
          <w:sz w:val="24"/>
          <w:shd w:val="pct10" w:color="auto" w:fill="FFFFFF"/>
        </w:rPr>
        <w:t>满分15分</w:t>
      </w:r>
    </w:p>
    <w:p>
      <w:pPr>
        <w:spacing w:line="400" w:lineRule="exact"/>
        <w:ind w:left="959" w:leftChars="342" w:hanging="241" w:hangingChars="100"/>
        <w:rPr>
          <w:rFonts w:ascii="宋体" w:hAnsi="宋体"/>
          <w:b/>
          <w:color w:val="auto"/>
          <w:sz w:val="24"/>
        </w:rPr>
      </w:pPr>
      <w:r>
        <w:rPr>
          <w:rFonts w:hint="eastAsia" w:ascii="宋体" w:hAnsi="宋体"/>
          <w:b/>
          <w:color w:val="auto"/>
          <w:sz w:val="24"/>
        </w:rPr>
        <w:t>综合得分：P＝PT＋PB＋PF</w:t>
      </w:r>
    </w:p>
    <w:p>
      <w:pPr>
        <w:numPr>
          <w:ilvl w:val="0"/>
          <w:numId w:val="6"/>
        </w:numPr>
        <w:spacing w:line="480" w:lineRule="exact"/>
        <w:ind w:firstLine="241" w:firstLineChars="100"/>
        <w:rPr>
          <w:rFonts w:ascii="宋体" w:hAnsi="宋体"/>
          <w:b/>
          <w:color w:val="auto"/>
          <w:sz w:val="24"/>
        </w:rPr>
      </w:pPr>
      <w:r>
        <w:rPr>
          <w:rFonts w:hint="eastAsia" w:ascii="宋体" w:hAnsi="宋体"/>
          <w:b/>
          <w:color w:val="auto"/>
          <w:sz w:val="24"/>
        </w:rPr>
        <w:t>PT：技术部分评分（</w:t>
      </w:r>
      <w:r>
        <w:rPr>
          <w:rFonts w:hint="eastAsia" w:ascii="宋体" w:hAnsi="宋体"/>
          <w:b/>
          <w:color w:val="auto"/>
          <w:sz w:val="24"/>
          <w:shd w:val="pct10" w:color="auto" w:fill="FFFFFF"/>
        </w:rPr>
        <w:t xml:space="preserve"> 满分61分）</w:t>
      </w:r>
      <w:r>
        <w:rPr>
          <w:rFonts w:hint="eastAsia" w:ascii="宋体" w:hAnsi="宋体"/>
          <w:b/>
          <w:color w:val="auto"/>
          <w:sz w:val="24"/>
        </w:rPr>
        <w:t>（注：按照闽财购〔</w:t>
      </w:r>
      <w:r>
        <w:rPr>
          <w:rFonts w:ascii="宋体" w:hAnsi="宋体"/>
          <w:b/>
          <w:color w:val="auto"/>
          <w:sz w:val="24"/>
        </w:rPr>
        <w:t>2010</w:t>
      </w:r>
      <w:r>
        <w:rPr>
          <w:rFonts w:hint="eastAsia" w:ascii="宋体" w:hAnsi="宋体"/>
          <w:b/>
          <w:color w:val="auto"/>
          <w:sz w:val="24"/>
        </w:rPr>
        <w:t>〕</w:t>
      </w:r>
      <w:r>
        <w:rPr>
          <w:rFonts w:ascii="宋体" w:hAnsi="宋体"/>
          <w:b/>
          <w:color w:val="auto"/>
          <w:sz w:val="24"/>
        </w:rPr>
        <w:t>28</w:t>
      </w:r>
      <w:r>
        <w:rPr>
          <w:rFonts w:hint="eastAsia" w:ascii="宋体" w:hAnsi="宋体"/>
          <w:b/>
          <w:color w:val="auto"/>
          <w:sz w:val="24"/>
        </w:rPr>
        <w:t>号文件规定，本项PT部分各评委平均分达不到招标文件设定的技术部分总分</w:t>
      </w:r>
      <w:r>
        <w:rPr>
          <w:rFonts w:ascii="宋体" w:hAnsi="宋体"/>
          <w:b/>
          <w:color w:val="auto"/>
          <w:sz w:val="24"/>
        </w:rPr>
        <w:t>50%</w:t>
      </w:r>
      <w:r>
        <w:rPr>
          <w:rFonts w:hint="eastAsia" w:ascii="宋体" w:hAnsi="宋体"/>
          <w:b/>
          <w:color w:val="auto"/>
          <w:sz w:val="24"/>
        </w:rPr>
        <w:t>，视为技术部分严重偏离招标文件要求，按无效投标处理。</w:t>
      </w:r>
      <w:r>
        <w:rPr>
          <w:rFonts w:ascii="宋体" w:hAnsi="宋体"/>
          <w:b/>
          <w:color w:val="auto"/>
          <w:sz w:val="24"/>
        </w:rPr>
        <w:t>）</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196"/>
        <w:gridCol w:w="6716"/>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序号</w:t>
            </w:r>
          </w:p>
        </w:tc>
        <w:tc>
          <w:tcPr>
            <w:tcW w:w="119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项目内容</w:t>
            </w:r>
          </w:p>
        </w:tc>
        <w:tc>
          <w:tcPr>
            <w:tcW w:w="671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评分标准</w:t>
            </w:r>
          </w:p>
        </w:tc>
        <w:tc>
          <w:tcPr>
            <w:tcW w:w="799"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3"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T1</w:t>
            </w:r>
          </w:p>
        </w:tc>
        <w:tc>
          <w:tcPr>
            <w:tcW w:w="1196" w:type="dxa"/>
            <w:vAlign w:val="center"/>
          </w:tcPr>
          <w:p>
            <w:pPr>
              <w:spacing w:line="360" w:lineRule="auto"/>
              <w:jc w:val="center"/>
              <w:rPr>
                <w:rFonts w:ascii="宋体" w:hAnsi="宋体" w:cs="宋体"/>
                <w:color w:val="auto"/>
                <w:sz w:val="24"/>
                <w:szCs w:val="24"/>
              </w:rPr>
            </w:pPr>
            <w:r>
              <w:rPr>
                <w:rFonts w:hint="eastAsia" w:ascii="宋体" w:hAnsi="宋体" w:cs="宋体"/>
                <w:color w:val="auto"/>
                <w:kern w:val="0"/>
                <w:sz w:val="24"/>
                <w:szCs w:val="24"/>
              </w:rPr>
              <w:t>服务</w:t>
            </w:r>
            <w:r>
              <w:rPr>
                <w:rFonts w:ascii="宋体" w:hAnsi="宋体" w:cs="宋体"/>
                <w:color w:val="auto"/>
                <w:kern w:val="0"/>
                <w:sz w:val="24"/>
                <w:szCs w:val="24"/>
              </w:rPr>
              <w:t>要求</w:t>
            </w:r>
            <w:r>
              <w:rPr>
                <w:rFonts w:hint="eastAsia" w:ascii="宋体" w:hAnsi="宋体" w:cs="宋体"/>
                <w:color w:val="auto"/>
                <w:kern w:val="0"/>
                <w:sz w:val="24"/>
                <w:szCs w:val="24"/>
              </w:rPr>
              <w:t>响应</w:t>
            </w:r>
            <w:r>
              <w:rPr>
                <w:rFonts w:ascii="宋体" w:hAnsi="宋体" w:cs="宋体"/>
                <w:color w:val="auto"/>
                <w:kern w:val="0"/>
                <w:sz w:val="24"/>
                <w:szCs w:val="24"/>
              </w:rPr>
              <w:t>情况</w:t>
            </w:r>
          </w:p>
        </w:tc>
        <w:tc>
          <w:tcPr>
            <w:tcW w:w="6716" w:type="dxa"/>
            <w:vAlign w:val="center"/>
          </w:tcPr>
          <w:p>
            <w:pPr>
              <w:adjustRightInd w:val="0"/>
              <w:snapToGrid w:val="0"/>
              <w:spacing w:line="360" w:lineRule="auto"/>
              <w:rPr>
                <w:rFonts w:ascii="宋体" w:hAnsi="宋体"/>
                <w:bCs/>
                <w:color w:val="auto"/>
                <w:sz w:val="24"/>
                <w:szCs w:val="24"/>
              </w:rPr>
            </w:pPr>
            <w:r>
              <w:rPr>
                <w:rFonts w:ascii="宋体" w:hAnsi="宋体" w:cs="宋体"/>
                <w:color w:val="auto"/>
                <w:kern w:val="0"/>
                <w:sz w:val="24"/>
                <w:szCs w:val="24"/>
              </w:rPr>
              <w:t>根据各</w:t>
            </w:r>
            <w:r>
              <w:rPr>
                <w:rFonts w:hint="eastAsia" w:ascii="宋体" w:hAnsi="宋体" w:cs="宋体"/>
                <w:color w:val="auto"/>
                <w:kern w:val="0"/>
                <w:sz w:val="24"/>
                <w:szCs w:val="24"/>
              </w:rPr>
              <w:t>投标人</w:t>
            </w:r>
            <w:r>
              <w:rPr>
                <w:rFonts w:ascii="宋体" w:hAnsi="宋体" w:cs="宋体"/>
                <w:color w:val="auto"/>
                <w:kern w:val="0"/>
                <w:sz w:val="24"/>
                <w:szCs w:val="24"/>
              </w:rPr>
              <w:t>所投</w:t>
            </w:r>
            <w:r>
              <w:rPr>
                <w:rFonts w:hint="eastAsia" w:ascii="宋体" w:hAnsi="宋体" w:cs="宋体"/>
                <w:color w:val="auto"/>
                <w:kern w:val="0"/>
                <w:sz w:val="24"/>
                <w:szCs w:val="24"/>
              </w:rPr>
              <w:t>服务</w:t>
            </w:r>
            <w:r>
              <w:rPr>
                <w:rFonts w:ascii="宋体" w:hAnsi="宋体" w:cs="宋体"/>
                <w:color w:val="auto"/>
                <w:kern w:val="0"/>
                <w:sz w:val="24"/>
                <w:szCs w:val="24"/>
              </w:rPr>
              <w:t>对《第</w:t>
            </w:r>
            <w:r>
              <w:rPr>
                <w:rFonts w:hint="eastAsia" w:ascii="宋体" w:hAnsi="宋体" w:cs="宋体"/>
                <w:color w:val="auto"/>
                <w:kern w:val="0"/>
                <w:sz w:val="24"/>
                <w:szCs w:val="24"/>
              </w:rPr>
              <w:t>三</w:t>
            </w:r>
            <w:r>
              <w:rPr>
                <w:rFonts w:ascii="宋体" w:hAnsi="宋体" w:cs="宋体"/>
                <w:color w:val="auto"/>
                <w:kern w:val="0"/>
                <w:sz w:val="24"/>
                <w:szCs w:val="24"/>
              </w:rPr>
              <w:t>章招标内容及要求》“</w:t>
            </w:r>
            <w:r>
              <w:rPr>
                <w:rFonts w:hint="eastAsia" w:ascii="宋体" w:hAnsi="宋体" w:cs="宋体"/>
                <w:color w:val="auto"/>
                <w:kern w:val="0"/>
                <w:sz w:val="24"/>
                <w:szCs w:val="24"/>
              </w:rPr>
              <w:t>服务</w:t>
            </w:r>
            <w:r>
              <w:rPr>
                <w:rFonts w:ascii="宋体" w:hAnsi="宋体" w:cs="宋体"/>
                <w:color w:val="auto"/>
                <w:kern w:val="0"/>
                <w:sz w:val="24"/>
                <w:szCs w:val="24"/>
              </w:rPr>
              <w:t>要求”中的各项要求的响应承诺情况</w:t>
            </w:r>
            <w:r>
              <w:rPr>
                <w:rFonts w:hint="eastAsia" w:ascii="宋体" w:hAnsi="宋体" w:cs="宋体"/>
                <w:color w:val="auto"/>
                <w:kern w:val="0"/>
                <w:sz w:val="24"/>
                <w:szCs w:val="24"/>
              </w:rPr>
              <w:t>并结合相关佐证材料（如有）</w:t>
            </w:r>
            <w:r>
              <w:rPr>
                <w:rFonts w:ascii="宋体" w:hAnsi="宋体" w:cs="宋体"/>
                <w:color w:val="auto"/>
                <w:kern w:val="0"/>
                <w:sz w:val="24"/>
                <w:szCs w:val="24"/>
              </w:rPr>
              <w:t>，由评委进行评议并评分, 完全满足</w:t>
            </w:r>
            <w:r>
              <w:rPr>
                <w:rFonts w:hint="eastAsia" w:ascii="宋体" w:hAnsi="宋体" w:cs="宋体"/>
                <w:color w:val="auto"/>
                <w:kern w:val="0"/>
                <w:sz w:val="24"/>
                <w:szCs w:val="24"/>
              </w:rPr>
              <w:t>招标文件服务</w:t>
            </w:r>
            <w:r>
              <w:rPr>
                <w:rFonts w:ascii="宋体" w:hAnsi="宋体" w:cs="宋体"/>
                <w:color w:val="auto"/>
                <w:kern w:val="0"/>
                <w:sz w:val="24"/>
                <w:szCs w:val="24"/>
              </w:rPr>
              <w:t>要求的得</w:t>
            </w:r>
            <w:r>
              <w:rPr>
                <w:rFonts w:hint="eastAsia" w:ascii="宋体" w:hAnsi="宋体" w:cs="宋体"/>
                <w:color w:val="auto"/>
                <w:kern w:val="0"/>
                <w:sz w:val="24"/>
                <w:szCs w:val="24"/>
              </w:rPr>
              <w:t>28</w:t>
            </w:r>
            <w:r>
              <w:rPr>
                <w:rFonts w:ascii="宋体" w:hAnsi="宋体" w:cs="宋体"/>
                <w:color w:val="auto"/>
                <w:kern w:val="0"/>
                <w:sz w:val="24"/>
                <w:szCs w:val="24"/>
              </w:rPr>
              <w:t>分，每负偏离一项扣</w:t>
            </w:r>
            <w:r>
              <w:rPr>
                <w:rFonts w:hint="eastAsia" w:ascii="宋体" w:hAnsi="宋体" w:cs="宋体"/>
                <w:color w:val="auto"/>
                <w:kern w:val="0"/>
                <w:sz w:val="24"/>
                <w:szCs w:val="24"/>
              </w:rPr>
              <w:t>1</w:t>
            </w:r>
            <w:r>
              <w:rPr>
                <w:rFonts w:ascii="宋体" w:hAnsi="宋体" w:cs="宋体"/>
                <w:color w:val="auto"/>
                <w:kern w:val="0"/>
                <w:sz w:val="24"/>
                <w:szCs w:val="24"/>
              </w:rPr>
              <w:t>分（合</w:t>
            </w:r>
            <w:r>
              <w:rPr>
                <w:rFonts w:hint="eastAsia" w:ascii="宋体" w:hAnsi="宋体" w:cs="宋体"/>
                <w:color w:val="auto"/>
                <w:kern w:val="0"/>
                <w:sz w:val="24"/>
                <w:szCs w:val="24"/>
              </w:rPr>
              <w:t>28</w:t>
            </w:r>
            <w:r>
              <w:rPr>
                <w:rFonts w:ascii="宋体" w:hAnsi="宋体" w:cs="宋体"/>
                <w:color w:val="auto"/>
                <w:kern w:val="0"/>
                <w:sz w:val="24"/>
                <w:szCs w:val="24"/>
              </w:rPr>
              <w:t>项)；扣完为止。</w:t>
            </w:r>
          </w:p>
        </w:tc>
        <w:tc>
          <w:tcPr>
            <w:tcW w:w="799"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3" w:type="dxa"/>
            <w:vMerge w:val="restart"/>
            <w:vAlign w:val="center"/>
          </w:tcPr>
          <w:p>
            <w:pPr>
              <w:spacing w:line="360" w:lineRule="auto"/>
              <w:jc w:val="center"/>
              <w:rPr>
                <w:rFonts w:ascii="宋体" w:hAnsi="宋体" w:cs="宋体"/>
                <w:color w:val="auto"/>
                <w:sz w:val="24"/>
                <w:szCs w:val="24"/>
              </w:rPr>
            </w:pPr>
            <w:r>
              <w:rPr>
                <w:rFonts w:hint="eastAsia" w:ascii="宋体" w:hAnsi="宋体"/>
                <w:color w:val="auto"/>
                <w:sz w:val="24"/>
                <w:szCs w:val="24"/>
              </w:rPr>
              <w:t>T2</w:t>
            </w:r>
          </w:p>
        </w:tc>
        <w:tc>
          <w:tcPr>
            <w:tcW w:w="1196" w:type="dxa"/>
            <w:vMerge w:val="restart"/>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车辆出险后的理赔申请</w:t>
            </w:r>
          </w:p>
        </w:tc>
        <w:tc>
          <w:tcPr>
            <w:tcW w:w="6716" w:type="dxa"/>
            <w:vAlign w:val="center"/>
          </w:tcPr>
          <w:p>
            <w:pPr>
              <w:adjustRightInd w:val="0"/>
              <w:snapToGrid w:val="0"/>
              <w:spacing w:line="360" w:lineRule="auto"/>
              <w:rPr>
                <w:rFonts w:ascii="宋体" w:hAnsi="宋体" w:cs="宋体"/>
                <w:color w:val="auto"/>
                <w:sz w:val="24"/>
                <w:szCs w:val="24"/>
              </w:rPr>
            </w:pPr>
            <w:r>
              <w:rPr>
                <w:rFonts w:hint="eastAsia" w:ascii="宋体" w:hAnsi="宋体"/>
                <w:bCs/>
                <w:color w:val="auto"/>
                <w:sz w:val="24"/>
                <w:szCs w:val="24"/>
              </w:rPr>
              <w:t>T2.1、</w:t>
            </w:r>
            <w:r>
              <w:rPr>
                <w:rFonts w:ascii="宋体" w:hAnsi="宋体" w:cs="宋体"/>
                <w:color w:val="auto"/>
                <w:kern w:val="0"/>
                <w:sz w:val="24"/>
                <w:szCs w:val="24"/>
              </w:rPr>
              <w:t>根据</w:t>
            </w:r>
            <w:r>
              <w:rPr>
                <w:rFonts w:hint="eastAsia" w:ascii="宋体" w:hAnsi="宋体" w:cs="宋体"/>
                <w:color w:val="auto"/>
                <w:kern w:val="0"/>
                <w:sz w:val="24"/>
                <w:szCs w:val="24"/>
              </w:rPr>
              <w:t>投标人</w:t>
            </w:r>
            <w:r>
              <w:rPr>
                <w:rFonts w:hint="eastAsia" w:ascii="宋体" w:hAnsi="宋体"/>
                <w:bCs/>
                <w:color w:val="auto"/>
                <w:sz w:val="24"/>
                <w:szCs w:val="24"/>
              </w:rPr>
              <w:t>在接到出险电话，到达事故现场的时间及赔款到帐时间，评委根据</w:t>
            </w:r>
            <w:r>
              <w:rPr>
                <w:rFonts w:hint="eastAsia" w:ascii="宋体" w:hAnsi="宋体" w:cs="宋体"/>
                <w:color w:val="auto"/>
                <w:kern w:val="0"/>
                <w:sz w:val="24"/>
                <w:szCs w:val="24"/>
              </w:rPr>
              <w:t>投标人</w:t>
            </w:r>
            <w:r>
              <w:rPr>
                <w:rFonts w:hint="eastAsia" w:ascii="宋体" w:hAnsi="宋体"/>
                <w:bCs/>
                <w:color w:val="auto"/>
                <w:sz w:val="24"/>
                <w:szCs w:val="24"/>
              </w:rPr>
              <w:t>的承诺进行横向比较，第一得3分，其余依次减1分。</w:t>
            </w:r>
          </w:p>
        </w:tc>
        <w:tc>
          <w:tcPr>
            <w:tcW w:w="799" w:type="dxa"/>
            <w:vAlign w:val="center"/>
          </w:tcPr>
          <w:p>
            <w:pPr>
              <w:spacing w:line="360" w:lineRule="auto"/>
              <w:jc w:val="center"/>
              <w:rPr>
                <w:rFonts w:ascii="宋体" w:hAnsi="宋体" w:cs="宋体"/>
                <w:color w:val="auto"/>
                <w:sz w:val="24"/>
                <w:szCs w:val="24"/>
              </w:rPr>
            </w:pPr>
            <w:r>
              <w:rPr>
                <w:rFonts w:hint="eastAsia" w:ascii="宋体" w:hAnsi="宋体"/>
                <w:color w:val="auto"/>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3" w:type="dxa"/>
            <w:vMerge w:val="continue"/>
            <w:vAlign w:val="center"/>
          </w:tcPr>
          <w:p>
            <w:pPr>
              <w:spacing w:line="360" w:lineRule="auto"/>
              <w:jc w:val="center"/>
              <w:rPr>
                <w:rFonts w:ascii="宋体" w:hAnsi="宋体"/>
                <w:color w:val="auto"/>
                <w:sz w:val="24"/>
                <w:szCs w:val="24"/>
              </w:rPr>
            </w:pPr>
          </w:p>
        </w:tc>
        <w:tc>
          <w:tcPr>
            <w:tcW w:w="1196" w:type="dxa"/>
            <w:vMerge w:val="continue"/>
            <w:vAlign w:val="center"/>
          </w:tcPr>
          <w:p>
            <w:pPr>
              <w:spacing w:line="360" w:lineRule="auto"/>
              <w:jc w:val="center"/>
              <w:rPr>
                <w:rFonts w:ascii="宋体" w:hAnsi="宋体" w:cs="宋体"/>
                <w:color w:val="auto"/>
                <w:sz w:val="24"/>
                <w:szCs w:val="24"/>
              </w:rPr>
            </w:pPr>
          </w:p>
        </w:tc>
        <w:tc>
          <w:tcPr>
            <w:tcW w:w="6716" w:type="dxa"/>
            <w:vAlign w:val="center"/>
          </w:tcPr>
          <w:p>
            <w:pPr>
              <w:adjustRightInd w:val="0"/>
              <w:snapToGrid w:val="0"/>
              <w:spacing w:line="360" w:lineRule="auto"/>
              <w:rPr>
                <w:rFonts w:ascii="宋体" w:hAnsi="宋体"/>
                <w:b/>
                <w:color w:val="auto"/>
                <w:sz w:val="24"/>
                <w:szCs w:val="24"/>
                <w:shd w:val="pct10" w:color="auto" w:fill="FFFFFF"/>
              </w:rPr>
            </w:pPr>
            <w:r>
              <w:rPr>
                <w:rFonts w:hint="eastAsia" w:ascii="宋体" w:hAnsi="宋体"/>
                <w:bCs/>
                <w:color w:val="auto"/>
                <w:sz w:val="24"/>
                <w:szCs w:val="24"/>
              </w:rPr>
              <w:t>T2.2、</w:t>
            </w:r>
            <w:r>
              <w:rPr>
                <w:rFonts w:ascii="宋体" w:hAnsi="宋体" w:cs="宋体"/>
                <w:color w:val="auto"/>
                <w:kern w:val="0"/>
                <w:sz w:val="24"/>
                <w:szCs w:val="24"/>
              </w:rPr>
              <w:t>根据</w:t>
            </w:r>
            <w:r>
              <w:rPr>
                <w:rFonts w:hint="eastAsia" w:ascii="宋体" w:hAnsi="宋体" w:cs="宋体"/>
                <w:color w:val="auto"/>
                <w:kern w:val="0"/>
                <w:sz w:val="24"/>
                <w:szCs w:val="24"/>
              </w:rPr>
              <w:t>投标人</w:t>
            </w:r>
            <w:r>
              <w:rPr>
                <w:rFonts w:hint="eastAsia" w:ascii="宋体" w:hAnsi="宋体"/>
                <w:bCs/>
                <w:color w:val="auto"/>
                <w:sz w:val="24"/>
                <w:szCs w:val="24"/>
              </w:rPr>
              <w:t>提供的</w:t>
            </w:r>
            <w:r>
              <w:rPr>
                <w:rFonts w:hint="eastAsia" w:ascii="宋体" w:hAnsi="宋体" w:cs="宋体"/>
                <w:color w:val="auto"/>
                <w:sz w:val="24"/>
                <w:szCs w:val="24"/>
              </w:rPr>
              <w:t>理赔垫付制度对责任明显、损失金额已产生的前提下，根据确定损失金额的垫付比例，按理赔垫付比例从大到小的合理情况：理赔垫付比例最高得3分，</w:t>
            </w:r>
            <w:r>
              <w:rPr>
                <w:rFonts w:hint="eastAsia" w:ascii="宋体" w:hAnsi="宋体"/>
                <w:color w:val="auto"/>
                <w:sz w:val="24"/>
              </w:rPr>
              <w:t>第二高的得2分，第三高的得1分。</w:t>
            </w:r>
          </w:p>
        </w:tc>
        <w:tc>
          <w:tcPr>
            <w:tcW w:w="799"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3" w:type="dxa"/>
            <w:vMerge w:val="continue"/>
            <w:vAlign w:val="center"/>
          </w:tcPr>
          <w:p>
            <w:pPr>
              <w:spacing w:line="360" w:lineRule="auto"/>
              <w:jc w:val="center"/>
              <w:rPr>
                <w:rFonts w:ascii="宋体" w:hAnsi="宋体"/>
                <w:color w:val="auto"/>
                <w:sz w:val="24"/>
                <w:szCs w:val="24"/>
              </w:rPr>
            </w:pPr>
          </w:p>
        </w:tc>
        <w:tc>
          <w:tcPr>
            <w:tcW w:w="1196" w:type="dxa"/>
            <w:vMerge w:val="continue"/>
            <w:vAlign w:val="center"/>
          </w:tcPr>
          <w:p>
            <w:pPr>
              <w:spacing w:line="360" w:lineRule="auto"/>
              <w:jc w:val="center"/>
              <w:rPr>
                <w:rFonts w:ascii="宋体" w:hAnsi="宋体" w:cs="宋体"/>
                <w:color w:val="auto"/>
                <w:sz w:val="24"/>
                <w:szCs w:val="24"/>
              </w:rPr>
            </w:pPr>
          </w:p>
        </w:tc>
        <w:tc>
          <w:tcPr>
            <w:tcW w:w="6716" w:type="dxa"/>
            <w:vAlign w:val="center"/>
          </w:tcPr>
          <w:p>
            <w:pPr>
              <w:adjustRightInd w:val="0"/>
              <w:snapToGrid w:val="0"/>
              <w:spacing w:line="360" w:lineRule="auto"/>
              <w:rPr>
                <w:rFonts w:ascii="宋体" w:hAnsi="宋体"/>
                <w:b/>
                <w:color w:val="auto"/>
                <w:sz w:val="24"/>
                <w:szCs w:val="24"/>
                <w:shd w:val="pct10" w:color="auto" w:fill="FFFFFF"/>
              </w:rPr>
            </w:pPr>
            <w:r>
              <w:rPr>
                <w:rFonts w:hint="eastAsia" w:ascii="宋体" w:hAnsi="宋体"/>
                <w:bCs/>
                <w:color w:val="auto"/>
                <w:sz w:val="24"/>
                <w:szCs w:val="24"/>
              </w:rPr>
              <w:t>T2.3、</w:t>
            </w:r>
            <w:r>
              <w:rPr>
                <w:rFonts w:ascii="宋体" w:hAnsi="宋体" w:cs="宋体"/>
                <w:color w:val="auto"/>
                <w:kern w:val="0"/>
                <w:sz w:val="24"/>
                <w:szCs w:val="24"/>
              </w:rPr>
              <w:t>根据</w:t>
            </w:r>
            <w:r>
              <w:rPr>
                <w:rFonts w:hint="eastAsia" w:ascii="宋体" w:hAnsi="宋体" w:cs="宋体"/>
                <w:color w:val="auto"/>
                <w:kern w:val="0"/>
                <w:sz w:val="24"/>
                <w:szCs w:val="24"/>
              </w:rPr>
              <w:t>投标人</w:t>
            </w:r>
            <w:r>
              <w:rPr>
                <w:rFonts w:hint="eastAsia" w:ascii="宋体" w:hAnsi="宋体"/>
                <w:bCs/>
                <w:color w:val="auto"/>
                <w:sz w:val="24"/>
                <w:szCs w:val="24"/>
              </w:rPr>
              <w:t>提供的</w:t>
            </w:r>
            <w:r>
              <w:rPr>
                <w:rFonts w:hint="eastAsia" w:ascii="宋体" w:hAnsi="宋体" w:cs="宋体"/>
                <w:color w:val="auto"/>
                <w:sz w:val="24"/>
                <w:szCs w:val="24"/>
              </w:rPr>
              <w:t>理赔预付制度在损失金额确定、责任明确的前提下，根据确定损失金额的预付比例，按理赔预付比例从大到小的合理情况：理赔预付比例最高得3分，</w:t>
            </w:r>
            <w:r>
              <w:rPr>
                <w:rFonts w:hint="eastAsia" w:ascii="宋体" w:hAnsi="宋体"/>
                <w:color w:val="auto"/>
                <w:sz w:val="24"/>
              </w:rPr>
              <w:t>第二高的得2分，第三高的得1分。</w:t>
            </w:r>
          </w:p>
        </w:tc>
        <w:tc>
          <w:tcPr>
            <w:tcW w:w="799"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3" w:type="dxa"/>
            <w:vMerge w:val="continue"/>
            <w:vAlign w:val="center"/>
          </w:tcPr>
          <w:p>
            <w:pPr>
              <w:spacing w:line="360" w:lineRule="auto"/>
              <w:jc w:val="center"/>
              <w:rPr>
                <w:rFonts w:ascii="宋体" w:hAnsi="宋体"/>
                <w:color w:val="auto"/>
                <w:sz w:val="24"/>
                <w:szCs w:val="24"/>
              </w:rPr>
            </w:pPr>
          </w:p>
        </w:tc>
        <w:tc>
          <w:tcPr>
            <w:tcW w:w="1196" w:type="dxa"/>
            <w:vMerge w:val="continue"/>
            <w:vAlign w:val="center"/>
          </w:tcPr>
          <w:p>
            <w:pPr>
              <w:spacing w:line="360" w:lineRule="auto"/>
              <w:jc w:val="center"/>
              <w:rPr>
                <w:rFonts w:ascii="宋体" w:hAnsi="宋体" w:cs="宋体"/>
                <w:color w:val="auto"/>
                <w:sz w:val="24"/>
                <w:szCs w:val="24"/>
              </w:rPr>
            </w:pPr>
          </w:p>
        </w:tc>
        <w:tc>
          <w:tcPr>
            <w:tcW w:w="6716" w:type="dxa"/>
            <w:vAlign w:val="center"/>
          </w:tcPr>
          <w:p>
            <w:pPr>
              <w:spacing w:line="360" w:lineRule="auto"/>
              <w:rPr>
                <w:rFonts w:ascii="宋体" w:hAnsi="宋体"/>
                <w:b/>
                <w:color w:val="auto"/>
                <w:sz w:val="24"/>
                <w:szCs w:val="24"/>
                <w:shd w:val="pct10" w:color="auto" w:fill="FFFFFF"/>
              </w:rPr>
            </w:pPr>
            <w:r>
              <w:rPr>
                <w:rFonts w:hint="eastAsia" w:ascii="宋体" w:hAnsi="宋体"/>
                <w:bCs/>
                <w:color w:val="auto"/>
                <w:sz w:val="24"/>
                <w:szCs w:val="24"/>
              </w:rPr>
              <w:t>T2.4、</w:t>
            </w:r>
            <w:r>
              <w:rPr>
                <w:rFonts w:ascii="宋体" w:hAnsi="宋体" w:cs="宋体"/>
                <w:color w:val="auto"/>
                <w:kern w:val="0"/>
                <w:sz w:val="24"/>
                <w:szCs w:val="24"/>
              </w:rPr>
              <w:t>根据</w:t>
            </w:r>
            <w:r>
              <w:rPr>
                <w:rFonts w:hint="eastAsia" w:ascii="宋体" w:hAnsi="宋体" w:cs="宋体"/>
                <w:color w:val="auto"/>
                <w:kern w:val="0"/>
                <w:sz w:val="24"/>
                <w:szCs w:val="24"/>
              </w:rPr>
              <w:t>投标人</w:t>
            </w:r>
            <w:r>
              <w:rPr>
                <w:rFonts w:hint="eastAsia" w:ascii="宋体" w:hAnsi="宋体" w:cs="宋体"/>
                <w:color w:val="auto"/>
                <w:sz w:val="24"/>
                <w:szCs w:val="24"/>
              </w:rPr>
              <w:t>所提供理赔服务的便捷性，从代理理赔情况（上门服务收集理赔材料）、理赔申请时间期限、理赔手续的繁琐程度三个方面综合评定，由评委进行横向对比第一的得3分，其余依次减1分</w:t>
            </w:r>
            <w:r>
              <w:rPr>
                <w:rFonts w:hint="eastAsia" w:ascii="宋体" w:hAnsi="宋体"/>
                <w:bCs/>
                <w:color w:val="auto"/>
                <w:sz w:val="24"/>
                <w:szCs w:val="24"/>
              </w:rPr>
              <w:t>。</w:t>
            </w:r>
          </w:p>
        </w:tc>
        <w:tc>
          <w:tcPr>
            <w:tcW w:w="799"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3" w:type="dxa"/>
            <w:vAlign w:val="center"/>
          </w:tcPr>
          <w:p>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T3</w:t>
            </w:r>
          </w:p>
        </w:tc>
        <w:tc>
          <w:tcPr>
            <w:tcW w:w="1196" w:type="dxa"/>
            <w:vAlign w:val="center"/>
          </w:tcPr>
          <w:p>
            <w:pPr>
              <w:spacing w:line="360" w:lineRule="auto"/>
              <w:jc w:val="center"/>
              <w:rPr>
                <w:rFonts w:ascii="宋体" w:hAnsi="宋体" w:cs="宋体"/>
                <w:color w:val="auto"/>
                <w:kern w:val="0"/>
                <w:sz w:val="24"/>
                <w:szCs w:val="24"/>
              </w:rPr>
            </w:pPr>
            <w:r>
              <w:rPr>
                <w:rFonts w:ascii="宋体" w:hAnsi="宋体" w:cs="宋体"/>
                <w:color w:val="auto"/>
                <w:kern w:val="0"/>
                <w:sz w:val="24"/>
                <w:szCs w:val="24"/>
              </w:rPr>
              <w:t>应急救援服务</w:t>
            </w:r>
            <w:r>
              <w:rPr>
                <w:rFonts w:hint="eastAsia" w:ascii="宋体" w:hAnsi="宋体" w:cs="宋体"/>
                <w:color w:val="auto"/>
                <w:kern w:val="0"/>
                <w:sz w:val="24"/>
                <w:szCs w:val="24"/>
              </w:rPr>
              <w:t>方案</w:t>
            </w:r>
          </w:p>
        </w:tc>
        <w:tc>
          <w:tcPr>
            <w:tcW w:w="6716" w:type="dxa"/>
            <w:vAlign w:val="center"/>
          </w:tcPr>
          <w:p>
            <w:pPr>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根据投标人提供的</w:t>
            </w:r>
            <w:r>
              <w:rPr>
                <w:rFonts w:ascii="宋体" w:hAnsi="宋体" w:cs="宋体"/>
                <w:color w:val="auto"/>
                <w:kern w:val="0"/>
                <w:sz w:val="24"/>
                <w:szCs w:val="24"/>
              </w:rPr>
              <w:t>应急救援服务</w:t>
            </w:r>
            <w:r>
              <w:rPr>
                <w:rFonts w:hint="eastAsia" w:ascii="宋体" w:hAnsi="宋体" w:cs="宋体"/>
                <w:color w:val="auto"/>
                <w:kern w:val="0"/>
                <w:sz w:val="24"/>
                <w:szCs w:val="24"/>
              </w:rPr>
              <w:t>方案（包含但不限于：应急服务制度、应急响应时间等）由评委进行评分：方案在满足基本要求基础上增加有利于项目实施方案内容的得3分，只是满足基本要求的得2分，未完全响应基本要求存在缺项的得1分，未提供本项不得分。</w:t>
            </w:r>
          </w:p>
        </w:tc>
        <w:tc>
          <w:tcPr>
            <w:tcW w:w="799"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763" w:type="dxa"/>
            <w:vAlign w:val="center"/>
          </w:tcPr>
          <w:p>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T4</w:t>
            </w:r>
          </w:p>
        </w:tc>
        <w:tc>
          <w:tcPr>
            <w:tcW w:w="1196" w:type="dxa"/>
            <w:vAlign w:val="center"/>
          </w:tcPr>
          <w:p>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组织机构设置</w:t>
            </w:r>
          </w:p>
        </w:tc>
        <w:tc>
          <w:tcPr>
            <w:tcW w:w="6716" w:type="dxa"/>
            <w:vAlign w:val="center"/>
          </w:tcPr>
          <w:p>
            <w:pPr>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根据投标人针对本项目提供的组织机构设置是否健全、责任是否明确、运行是否合理由评委进行评分：方案在满足基本要求基础上增加有利于项目实施方案内容的得3分，只是满足基本要求的得2分，未完全响应基本要求存在缺项的得1分，未提供本项不得分。</w:t>
            </w:r>
          </w:p>
        </w:tc>
        <w:tc>
          <w:tcPr>
            <w:tcW w:w="799"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3" w:type="dxa"/>
            <w:vAlign w:val="center"/>
          </w:tcPr>
          <w:p>
            <w:pPr>
              <w:spacing w:line="360" w:lineRule="auto"/>
              <w:jc w:val="center"/>
              <w:rPr>
                <w:rFonts w:ascii="宋体" w:hAnsi="宋体" w:cs="宋体"/>
                <w:color w:val="auto"/>
                <w:kern w:val="0"/>
                <w:sz w:val="24"/>
                <w:szCs w:val="24"/>
              </w:rPr>
            </w:pPr>
            <w:r>
              <w:rPr>
                <w:rFonts w:hint="eastAsia" w:ascii="宋体" w:hAnsi="宋体"/>
                <w:color w:val="auto"/>
                <w:sz w:val="24"/>
                <w:szCs w:val="24"/>
              </w:rPr>
              <w:t>T5</w:t>
            </w:r>
          </w:p>
        </w:tc>
        <w:tc>
          <w:tcPr>
            <w:tcW w:w="1196" w:type="dxa"/>
            <w:vAlign w:val="center"/>
          </w:tcPr>
          <w:p>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工作人员配备</w:t>
            </w:r>
          </w:p>
        </w:tc>
        <w:tc>
          <w:tcPr>
            <w:tcW w:w="6716" w:type="dxa"/>
            <w:vAlign w:val="center"/>
          </w:tcPr>
          <w:p>
            <w:pPr>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根据投标人结合本项目的实际情况制定的工作人员配备的情况</w:t>
            </w:r>
            <w:r>
              <w:rPr>
                <w:rFonts w:ascii="宋体" w:hAnsi="宋体" w:cs="宋体"/>
                <w:color w:val="auto"/>
                <w:kern w:val="0"/>
                <w:sz w:val="24"/>
                <w:szCs w:val="24"/>
              </w:rPr>
              <w:t>（包括但不限于：</w:t>
            </w:r>
            <w:r>
              <w:rPr>
                <w:rFonts w:hint="eastAsia" w:ascii="宋体" w:hAnsi="宋体" w:cs="宋体"/>
                <w:color w:val="auto"/>
                <w:kern w:val="0"/>
                <w:sz w:val="24"/>
                <w:szCs w:val="24"/>
              </w:rPr>
              <w:t>工作人员安排</w:t>
            </w:r>
            <w:r>
              <w:rPr>
                <w:rFonts w:ascii="宋体" w:hAnsi="宋体" w:cs="宋体"/>
                <w:color w:val="auto"/>
                <w:kern w:val="0"/>
                <w:sz w:val="24"/>
                <w:szCs w:val="24"/>
              </w:rPr>
              <w:t>、</w:t>
            </w:r>
            <w:r>
              <w:rPr>
                <w:rFonts w:hint="eastAsia" w:ascii="宋体" w:hAnsi="宋体" w:cs="宋体"/>
                <w:color w:val="auto"/>
                <w:kern w:val="0"/>
                <w:sz w:val="24"/>
                <w:szCs w:val="24"/>
              </w:rPr>
              <w:t>人员管理制度</w:t>
            </w:r>
            <w:r>
              <w:rPr>
                <w:rFonts w:ascii="宋体" w:hAnsi="宋体" w:cs="宋体"/>
                <w:color w:val="auto"/>
                <w:kern w:val="0"/>
                <w:sz w:val="24"/>
                <w:szCs w:val="24"/>
              </w:rPr>
              <w:t>等）</w:t>
            </w:r>
            <w:r>
              <w:rPr>
                <w:rFonts w:hint="eastAsia" w:ascii="宋体" w:hAnsi="宋体" w:cs="宋体"/>
                <w:color w:val="auto"/>
                <w:kern w:val="0"/>
                <w:sz w:val="24"/>
                <w:szCs w:val="24"/>
              </w:rPr>
              <w:t>由评委进行评分：方案在满足基本要求基础上增加有利于项目实施方案内容的得3分，只是满足基本要求的得2分，未完全响应基本要求存在缺项的得1分，未提供本项不得分。</w:t>
            </w:r>
          </w:p>
        </w:tc>
        <w:tc>
          <w:tcPr>
            <w:tcW w:w="799"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3"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T6</w:t>
            </w:r>
          </w:p>
        </w:tc>
        <w:tc>
          <w:tcPr>
            <w:tcW w:w="119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服务管理制度</w:t>
            </w:r>
          </w:p>
        </w:tc>
        <w:tc>
          <w:tcPr>
            <w:tcW w:w="6716" w:type="dxa"/>
            <w:vAlign w:val="center"/>
          </w:tcPr>
          <w:p>
            <w:pPr>
              <w:spacing w:line="360" w:lineRule="auto"/>
              <w:jc w:val="left"/>
              <w:rPr>
                <w:rFonts w:ascii="宋体" w:hAnsi="宋体" w:cs="宋体"/>
                <w:color w:val="auto"/>
                <w:sz w:val="24"/>
                <w:szCs w:val="24"/>
              </w:rPr>
            </w:pPr>
            <w:r>
              <w:rPr>
                <w:rFonts w:hint="eastAsia" w:ascii="宋体" w:hAnsi="宋体" w:cs="宋体"/>
                <w:color w:val="auto"/>
                <w:sz w:val="24"/>
                <w:szCs w:val="24"/>
              </w:rPr>
              <w:t>根据</w:t>
            </w:r>
            <w:r>
              <w:rPr>
                <w:rFonts w:hint="eastAsia" w:ascii="宋体" w:hAnsi="宋体" w:cs="宋体"/>
                <w:color w:val="auto"/>
                <w:kern w:val="0"/>
                <w:sz w:val="24"/>
                <w:szCs w:val="24"/>
              </w:rPr>
              <w:t>投标人</w:t>
            </w:r>
            <w:r>
              <w:rPr>
                <w:rFonts w:hint="eastAsia" w:ascii="宋体" w:hAnsi="宋体" w:cs="宋体"/>
                <w:color w:val="auto"/>
                <w:sz w:val="24"/>
                <w:szCs w:val="24"/>
              </w:rPr>
              <w:t>结合本项目的实际情况制定的服务管理制度的情况</w:t>
            </w:r>
            <w:r>
              <w:rPr>
                <w:rFonts w:ascii="宋体" w:hAnsi="宋体" w:cs="宋体"/>
                <w:color w:val="auto"/>
                <w:kern w:val="0"/>
                <w:sz w:val="24"/>
                <w:szCs w:val="24"/>
              </w:rPr>
              <w:t>（包括但不限于：</w:t>
            </w:r>
            <w:r>
              <w:rPr>
                <w:rFonts w:hint="eastAsia" w:ascii="宋体" w:hAnsi="宋体" w:cs="宋体"/>
                <w:color w:val="auto"/>
                <w:kern w:val="0"/>
                <w:sz w:val="24"/>
                <w:szCs w:val="24"/>
              </w:rPr>
              <w:t>服务制度</w:t>
            </w:r>
            <w:r>
              <w:rPr>
                <w:rFonts w:ascii="宋体" w:hAnsi="宋体" w:cs="宋体"/>
                <w:color w:val="auto"/>
                <w:kern w:val="0"/>
                <w:sz w:val="24"/>
                <w:szCs w:val="24"/>
              </w:rPr>
              <w:t>、</w:t>
            </w:r>
            <w:r>
              <w:rPr>
                <w:rFonts w:hint="eastAsia" w:ascii="宋体" w:hAnsi="宋体" w:cs="宋体"/>
                <w:color w:val="auto"/>
                <w:kern w:val="0"/>
                <w:sz w:val="24"/>
                <w:szCs w:val="24"/>
              </w:rPr>
              <w:t>服务保护措施</w:t>
            </w:r>
            <w:r>
              <w:rPr>
                <w:rFonts w:ascii="宋体" w:hAnsi="宋体" w:cs="宋体"/>
                <w:color w:val="auto"/>
                <w:kern w:val="0"/>
                <w:sz w:val="24"/>
                <w:szCs w:val="24"/>
              </w:rPr>
              <w:t>等）</w:t>
            </w:r>
            <w:r>
              <w:rPr>
                <w:rFonts w:hint="eastAsia" w:ascii="宋体" w:hAnsi="宋体" w:cs="宋体"/>
                <w:color w:val="auto"/>
                <w:kern w:val="0"/>
                <w:sz w:val="24"/>
                <w:szCs w:val="24"/>
              </w:rPr>
              <w:t>由评委进行评分：方案在满足基本要求基础上增加有利于项目实施方案内容的得3分，只是满足基本要求的得2分，未完全响应基本要求存在缺项的得1分，未提供本项不得分。</w:t>
            </w:r>
          </w:p>
        </w:tc>
        <w:tc>
          <w:tcPr>
            <w:tcW w:w="799"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3"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T7</w:t>
            </w:r>
          </w:p>
        </w:tc>
        <w:tc>
          <w:tcPr>
            <w:tcW w:w="119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服务保护措施</w:t>
            </w:r>
          </w:p>
        </w:tc>
        <w:tc>
          <w:tcPr>
            <w:tcW w:w="6716" w:type="dxa"/>
            <w:vAlign w:val="center"/>
          </w:tcPr>
          <w:p>
            <w:pPr>
              <w:spacing w:line="360" w:lineRule="auto"/>
              <w:jc w:val="left"/>
              <w:rPr>
                <w:rFonts w:ascii="宋体" w:hAnsi="宋体" w:cs="宋体"/>
                <w:color w:val="auto"/>
                <w:sz w:val="24"/>
                <w:szCs w:val="24"/>
              </w:rPr>
            </w:pPr>
            <w:r>
              <w:rPr>
                <w:rFonts w:hint="eastAsia" w:ascii="宋体" w:hAnsi="宋体" w:cs="宋体"/>
                <w:color w:val="auto"/>
                <w:sz w:val="24"/>
                <w:szCs w:val="24"/>
              </w:rPr>
              <w:t>根据</w:t>
            </w:r>
            <w:r>
              <w:rPr>
                <w:rFonts w:hint="eastAsia" w:ascii="宋体" w:hAnsi="宋体" w:cs="宋体"/>
                <w:color w:val="auto"/>
                <w:kern w:val="0"/>
                <w:sz w:val="24"/>
                <w:szCs w:val="24"/>
              </w:rPr>
              <w:t>投标人</w:t>
            </w:r>
            <w:r>
              <w:rPr>
                <w:rFonts w:hint="eastAsia" w:ascii="宋体" w:hAnsi="宋体" w:cs="宋体"/>
                <w:color w:val="auto"/>
                <w:sz w:val="24"/>
                <w:szCs w:val="24"/>
              </w:rPr>
              <w:t>结合本项目的实际情况制定的服务保护措施的情况</w:t>
            </w:r>
            <w:r>
              <w:rPr>
                <w:rFonts w:ascii="宋体" w:hAnsi="宋体" w:cs="宋体"/>
                <w:color w:val="auto"/>
                <w:kern w:val="0"/>
                <w:sz w:val="24"/>
                <w:szCs w:val="24"/>
              </w:rPr>
              <w:t>（包括但不限于：</w:t>
            </w:r>
            <w:r>
              <w:rPr>
                <w:rFonts w:hint="eastAsia" w:ascii="宋体" w:hAnsi="宋体" w:cs="宋体"/>
                <w:color w:val="auto"/>
                <w:kern w:val="0"/>
                <w:sz w:val="24"/>
                <w:szCs w:val="24"/>
              </w:rPr>
              <w:t>服务保护措施</w:t>
            </w:r>
            <w:r>
              <w:rPr>
                <w:rFonts w:ascii="宋体" w:hAnsi="宋体" w:cs="宋体"/>
                <w:color w:val="auto"/>
                <w:kern w:val="0"/>
                <w:sz w:val="24"/>
                <w:szCs w:val="24"/>
              </w:rPr>
              <w:t>等）</w:t>
            </w:r>
            <w:r>
              <w:rPr>
                <w:rFonts w:hint="eastAsia" w:ascii="宋体" w:hAnsi="宋体" w:cs="宋体"/>
                <w:color w:val="auto"/>
                <w:kern w:val="0"/>
                <w:sz w:val="24"/>
                <w:szCs w:val="24"/>
              </w:rPr>
              <w:t>由评委进行评分：方案在满足基本要求基础上增加有利于项目实施方案内容的得3分，只是满足基本要求的得2分，未完全响应基本要求存在缺项的得1分，未提供本项不得分。</w:t>
            </w:r>
          </w:p>
        </w:tc>
        <w:tc>
          <w:tcPr>
            <w:tcW w:w="799"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63" w:type="dxa"/>
            <w:vAlign w:val="center"/>
          </w:tcPr>
          <w:p>
            <w:pPr>
              <w:spacing w:line="360" w:lineRule="auto"/>
              <w:jc w:val="center"/>
              <w:rPr>
                <w:rFonts w:ascii="宋体" w:hAnsi="宋体" w:cs="宋体"/>
                <w:bCs/>
                <w:color w:val="auto"/>
                <w:sz w:val="24"/>
                <w:szCs w:val="24"/>
              </w:rPr>
            </w:pPr>
            <w:r>
              <w:rPr>
                <w:rFonts w:hint="eastAsia" w:ascii="宋体" w:hAnsi="宋体"/>
                <w:color w:val="auto"/>
                <w:sz w:val="24"/>
                <w:szCs w:val="24"/>
              </w:rPr>
              <w:t>T8</w:t>
            </w:r>
          </w:p>
        </w:tc>
        <w:tc>
          <w:tcPr>
            <w:tcW w:w="1196" w:type="dxa"/>
            <w:vAlign w:val="center"/>
          </w:tcPr>
          <w:p>
            <w:pPr>
              <w:spacing w:line="360" w:lineRule="auto"/>
              <w:jc w:val="center"/>
              <w:rPr>
                <w:rFonts w:ascii="宋体" w:hAnsi="宋体" w:cs="宋体"/>
                <w:bCs/>
                <w:color w:val="auto"/>
                <w:sz w:val="24"/>
                <w:szCs w:val="24"/>
              </w:rPr>
            </w:pPr>
            <w:r>
              <w:rPr>
                <w:rFonts w:hint="eastAsia" w:ascii="宋体" w:hAnsi="宋体" w:cs="宋体"/>
                <w:color w:val="auto"/>
                <w:sz w:val="24"/>
                <w:szCs w:val="24"/>
              </w:rPr>
              <w:t>增值服务承诺</w:t>
            </w:r>
          </w:p>
        </w:tc>
        <w:tc>
          <w:tcPr>
            <w:tcW w:w="6716" w:type="dxa"/>
            <w:vAlign w:val="center"/>
          </w:tcPr>
          <w:p>
            <w:pPr>
              <w:spacing w:line="360" w:lineRule="auto"/>
              <w:jc w:val="left"/>
              <w:rPr>
                <w:rFonts w:ascii="宋体" w:hAnsi="宋体" w:cs="宋体"/>
                <w:color w:val="auto"/>
                <w:sz w:val="24"/>
                <w:szCs w:val="24"/>
              </w:rPr>
            </w:pPr>
            <w:r>
              <w:rPr>
                <w:rFonts w:ascii="宋体" w:hAnsi="宋体" w:cs="宋体"/>
                <w:color w:val="auto"/>
                <w:kern w:val="0"/>
                <w:sz w:val="24"/>
                <w:szCs w:val="24"/>
              </w:rPr>
              <w:t>根据</w:t>
            </w:r>
            <w:r>
              <w:rPr>
                <w:rFonts w:hint="eastAsia" w:ascii="宋体" w:hAnsi="宋体" w:cs="宋体"/>
                <w:color w:val="auto"/>
                <w:kern w:val="0"/>
                <w:sz w:val="24"/>
                <w:szCs w:val="24"/>
              </w:rPr>
              <w:t>投标人</w:t>
            </w:r>
            <w:r>
              <w:rPr>
                <w:rFonts w:hint="eastAsia" w:ascii="宋体" w:hAnsi="宋体" w:cs="宋体"/>
                <w:color w:val="auto"/>
                <w:sz w:val="24"/>
                <w:szCs w:val="24"/>
              </w:rPr>
              <w:t>除招标要求和保险政策承诺以外给予独特的实质性的服务承诺</w:t>
            </w:r>
            <w:r>
              <w:rPr>
                <w:rFonts w:ascii="宋体" w:hAnsi="宋体" w:cs="宋体"/>
                <w:color w:val="auto"/>
                <w:kern w:val="0"/>
                <w:sz w:val="24"/>
                <w:szCs w:val="24"/>
              </w:rPr>
              <w:t>（包括但不限于：</w:t>
            </w:r>
            <w:r>
              <w:rPr>
                <w:rFonts w:hint="eastAsia" w:ascii="宋体" w:hAnsi="宋体" w:cs="宋体"/>
                <w:color w:val="auto"/>
                <w:sz w:val="24"/>
                <w:szCs w:val="24"/>
              </w:rPr>
              <w:t>如事故免现场金额高低</w:t>
            </w:r>
            <w:r>
              <w:rPr>
                <w:rFonts w:ascii="宋体" w:hAnsi="宋体" w:cs="宋体"/>
                <w:color w:val="auto"/>
                <w:kern w:val="0"/>
                <w:sz w:val="24"/>
                <w:szCs w:val="24"/>
              </w:rPr>
              <w:t>等</w:t>
            </w:r>
            <w:r>
              <w:rPr>
                <w:rFonts w:hint="eastAsia" w:ascii="宋体" w:hAnsi="宋体" w:cs="宋体"/>
                <w:color w:val="auto"/>
                <w:kern w:val="0"/>
                <w:sz w:val="24"/>
                <w:szCs w:val="24"/>
              </w:rPr>
              <w:t>）由评委进行评分：方案在满足基本要求基础上增加有利于项目实施方案内容的得3分，只是满足基本要求的得2分，未完全响应基本要求存在缺项的得1分，未提供本项不得分。</w:t>
            </w:r>
          </w:p>
        </w:tc>
        <w:tc>
          <w:tcPr>
            <w:tcW w:w="799" w:type="dxa"/>
            <w:vAlign w:val="center"/>
          </w:tcPr>
          <w:p>
            <w:pPr>
              <w:spacing w:line="360" w:lineRule="auto"/>
              <w:jc w:val="center"/>
              <w:rPr>
                <w:rFonts w:ascii="宋体" w:hAnsi="宋体" w:cs="宋体"/>
                <w:color w:val="auto"/>
                <w:sz w:val="24"/>
                <w:szCs w:val="24"/>
              </w:rPr>
            </w:pPr>
            <w:r>
              <w:rPr>
                <w:rFonts w:hint="eastAsia" w:ascii="宋体" w:hAnsi="宋体"/>
                <w:color w:val="auto"/>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63"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T9</w:t>
            </w:r>
          </w:p>
        </w:tc>
        <w:tc>
          <w:tcPr>
            <w:tcW w:w="1196" w:type="dxa"/>
            <w:vAlign w:val="center"/>
          </w:tcPr>
          <w:p>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交接措施</w:t>
            </w:r>
          </w:p>
        </w:tc>
        <w:tc>
          <w:tcPr>
            <w:tcW w:w="6716" w:type="dxa"/>
            <w:vAlign w:val="center"/>
          </w:tcPr>
          <w:p>
            <w:pPr>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根据投标人制定的过渡交接计划安排与组织（在上年度保险到期，）由评委进行评分：方案在满足基本要求基础上增加有利于项目实施方案内容的得3分，只是满足基本要求的得2分，未完全响应基本要求存在缺项的得1分，未提供本项不得分。</w:t>
            </w:r>
          </w:p>
        </w:tc>
        <w:tc>
          <w:tcPr>
            <w:tcW w:w="799"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675" w:type="dxa"/>
            <w:gridSpan w:val="3"/>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技术总得分</w:t>
            </w:r>
          </w:p>
        </w:tc>
        <w:tc>
          <w:tcPr>
            <w:tcW w:w="799"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61分</w:t>
            </w:r>
          </w:p>
        </w:tc>
      </w:tr>
    </w:tbl>
    <w:p>
      <w:pPr>
        <w:pStyle w:val="4"/>
        <w:jc w:val="both"/>
        <w:rPr>
          <w:color w:val="auto"/>
        </w:rPr>
      </w:pPr>
    </w:p>
    <w:p>
      <w:pPr>
        <w:spacing w:line="400" w:lineRule="exact"/>
        <w:rPr>
          <w:rFonts w:ascii="宋体" w:hAnsi="宋体"/>
          <w:b/>
          <w:color w:val="auto"/>
          <w:sz w:val="24"/>
          <w:shd w:val="pct10" w:color="auto" w:fill="FFFFFF"/>
        </w:rPr>
      </w:pPr>
      <w:r>
        <w:rPr>
          <w:rFonts w:hint="eastAsia" w:ascii="宋体" w:hAnsi="宋体"/>
          <w:b/>
          <w:color w:val="auto"/>
          <w:sz w:val="24"/>
          <w:shd w:val="pct10" w:color="auto" w:fill="FFFFFF"/>
        </w:rPr>
        <w:t>二、PB:商务部分评分     (满分24分)</w:t>
      </w:r>
    </w:p>
    <w:tbl>
      <w:tblPr>
        <w:tblStyle w:val="37"/>
        <w:tblW w:w="8829"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3"/>
        <w:gridCol w:w="1275"/>
        <w:gridCol w:w="5989"/>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6" w:hRule="atLeast"/>
        </w:trPr>
        <w:tc>
          <w:tcPr>
            <w:tcW w:w="653"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序号</w:t>
            </w:r>
          </w:p>
        </w:tc>
        <w:tc>
          <w:tcPr>
            <w:tcW w:w="1275"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项目名称</w:t>
            </w:r>
          </w:p>
        </w:tc>
        <w:tc>
          <w:tcPr>
            <w:tcW w:w="5989" w:type="dxa"/>
            <w:vAlign w:val="center"/>
          </w:tcPr>
          <w:p>
            <w:pPr>
              <w:spacing w:line="360" w:lineRule="auto"/>
              <w:jc w:val="center"/>
              <w:rPr>
                <w:rFonts w:ascii="宋体" w:hAnsi="宋体"/>
                <w:color w:val="auto"/>
                <w:sz w:val="24"/>
                <w:szCs w:val="24"/>
              </w:rPr>
            </w:pPr>
            <w:r>
              <w:rPr>
                <w:rFonts w:hint="eastAsia" w:ascii="宋体" w:hAnsi="宋体" w:cs="宋体"/>
                <w:color w:val="auto"/>
                <w:sz w:val="24"/>
                <w:szCs w:val="24"/>
              </w:rPr>
              <w:t>评分标准</w:t>
            </w:r>
          </w:p>
        </w:tc>
        <w:tc>
          <w:tcPr>
            <w:tcW w:w="912"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19" w:hRule="atLeast"/>
        </w:trPr>
        <w:tc>
          <w:tcPr>
            <w:tcW w:w="653" w:type="dxa"/>
            <w:vAlign w:val="center"/>
          </w:tcPr>
          <w:p>
            <w:pPr>
              <w:spacing w:line="360" w:lineRule="auto"/>
              <w:jc w:val="center"/>
              <w:rPr>
                <w:rFonts w:ascii="宋体" w:hAnsi="宋体"/>
                <w:color w:val="auto"/>
                <w:sz w:val="24"/>
                <w:szCs w:val="24"/>
              </w:rPr>
            </w:pPr>
            <w:r>
              <w:rPr>
                <w:rFonts w:hint="eastAsia" w:ascii="宋体" w:hAnsi="宋体" w:cs="宋体"/>
                <w:color w:val="auto"/>
                <w:kern w:val="0"/>
                <w:sz w:val="24"/>
                <w:szCs w:val="24"/>
              </w:rPr>
              <w:t>B1</w:t>
            </w:r>
          </w:p>
        </w:tc>
        <w:tc>
          <w:tcPr>
            <w:tcW w:w="1275" w:type="dxa"/>
            <w:vAlign w:val="center"/>
          </w:tcPr>
          <w:p>
            <w:pPr>
              <w:spacing w:line="360" w:lineRule="auto"/>
              <w:jc w:val="center"/>
              <w:rPr>
                <w:rFonts w:ascii="宋体" w:hAnsi="宋体"/>
                <w:color w:val="auto"/>
                <w:sz w:val="24"/>
                <w:szCs w:val="24"/>
              </w:rPr>
            </w:pPr>
            <w:r>
              <w:rPr>
                <w:rFonts w:hint="eastAsia" w:ascii="宋体" w:hAnsi="宋体" w:cs="宋体"/>
                <w:color w:val="auto"/>
                <w:sz w:val="24"/>
              </w:rPr>
              <w:t>综合实力</w:t>
            </w:r>
          </w:p>
        </w:tc>
        <w:tc>
          <w:tcPr>
            <w:tcW w:w="5989" w:type="dxa"/>
          </w:tcPr>
          <w:p>
            <w:pPr>
              <w:spacing w:line="360" w:lineRule="auto"/>
              <w:rPr>
                <w:rFonts w:ascii="宋体" w:hAnsi="宋体" w:cs="宋体"/>
                <w:color w:val="auto"/>
                <w:sz w:val="24"/>
                <w:szCs w:val="24"/>
              </w:rPr>
            </w:pPr>
            <w:r>
              <w:rPr>
                <w:rFonts w:hint="eastAsia" w:ascii="宋体" w:hAnsi="宋体"/>
                <w:bCs/>
                <w:color w:val="auto"/>
                <w:sz w:val="24"/>
                <w:szCs w:val="24"/>
              </w:rPr>
              <w:t>根据各投标人提供的“赞誉”或客户满意度评价进行评价。每提供一份客户表扬信或者满意度评价为满意（包括但不限于优、好）的评价表，得1分，满分3分。</w:t>
            </w:r>
          </w:p>
        </w:tc>
        <w:tc>
          <w:tcPr>
            <w:tcW w:w="912"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4" w:hRule="atLeast"/>
        </w:trPr>
        <w:tc>
          <w:tcPr>
            <w:tcW w:w="653"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B2</w:t>
            </w:r>
          </w:p>
        </w:tc>
        <w:tc>
          <w:tcPr>
            <w:tcW w:w="1275" w:type="dxa"/>
            <w:vAlign w:val="center"/>
          </w:tcPr>
          <w:p>
            <w:pPr>
              <w:spacing w:line="360" w:lineRule="auto"/>
              <w:jc w:val="center"/>
              <w:rPr>
                <w:rFonts w:ascii="宋体" w:hAnsi="宋体"/>
                <w:bCs/>
                <w:color w:val="auto"/>
                <w:sz w:val="24"/>
                <w:szCs w:val="24"/>
              </w:rPr>
            </w:pPr>
            <w:r>
              <w:rPr>
                <w:rFonts w:hint="eastAsia" w:ascii="宋体" w:hAnsi="宋体"/>
                <w:bCs/>
                <w:color w:val="auto"/>
                <w:sz w:val="24"/>
                <w:szCs w:val="24"/>
              </w:rPr>
              <w:t>合作经验</w:t>
            </w:r>
          </w:p>
        </w:tc>
        <w:tc>
          <w:tcPr>
            <w:tcW w:w="5989" w:type="dxa"/>
            <w:vAlign w:val="center"/>
          </w:tcPr>
          <w:p>
            <w:pPr>
              <w:adjustRightInd w:val="0"/>
              <w:snapToGrid w:val="0"/>
              <w:spacing w:line="360" w:lineRule="auto"/>
              <w:rPr>
                <w:rFonts w:ascii="宋体" w:hAnsi="宋体"/>
                <w:bCs/>
                <w:color w:val="auto"/>
                <w:sz w:val="24"/>
                <w:szCs w:val="24"/>
              </w:rPr>
            </w:pPr>
            <w:r>
              <w:rPr>
                <w:rFonts w:hint="eastAsia" w:ascii="宋体" w:hAnsi="宋体"/>
                <w:bCs/>
                <w:color w:val="auto"/>
                <w:sz w:val="24"/>
                <w:szCs w:val="24"/>
              </w:rPr>
              <w:t>根据各投标人在2022年度内承保过同类项目（道路运输企业、公交）车辆数是100辆及以上的得3分，承保车辆数100-50辆的得2分，承保车辆数在50辆以下的得1分。</w:t>
            </w:r>
          </w:p>
          <w:p>
            <w:pPr>
              <w:adjustRightInd w:val="0"/>
              <w:snapToGrid w:val="0"/>
              <w:spacing w:line="360" w:lineRule="auto"/>
              <w:rPr>
                <w:rFonts w:ascii="宋体" w:hAnsi="宋体"/>
                <w:bCs/>
                <w:color w:val="auto"/>
                <w:sz w:val="24"/>
                <w:szCs w:val="24"/>
              </w:rPr>
            </w:pPr>
            <w:r>
              <w:rPr>
                <w:rFonts w:hint="eastAsia" w:ascii="宋体" w:hAnsi="宋体"/>
                <w:bCs/>
                <w:color w:val="auto"/>
                <w:sz w:val="24"/>
                <w:szCs w:val="24"/>
              </w:rPr>
              <w:t>注：以上车辆承保需为同一个采购人，否则不得分。投标人需提供承保清单（清单信息需含保单号、保险期限、车辆信息等，且加盖公章）或其他证明材料，未提供的不得分。</w:t>
            </w:r>
          </w:p>
        </w:tc>
        <w:tc>
          <w:tcPr>
            <w:tcW w:w="912" w:type="dxa"/>
            <w:vAlign w:val="center"/>
          </w:tcPr>
          <w:p>
            <w:pPr>
              <w:spacing w:line="360" w:lineRule="auto"/>
              <w:jc w:val="center"/>
              <w:rPr>
                <w:rFonts w:ascii="宋体" w:hAnsi="宋体"/>
                <w:bCs/>
                <w:color w:val="auto"/>
                <w:sz w:val="24"/>
                <w:szCs w:val="24"/>
              </w:rPr>
            </w:pPr>
            <w:r>
              <w:rPr>
                <w:rFonts w:hint="eastAsia" w:ascii="宋体" w:hAnsi="宋体"/>
                <w:bCs/>
                <w:color w:val="auto"/>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25" w:hRule="atLeast"/>
        </w:trPr>
        <w:tc>
          <w:tcPr>
            <w:tcW w:w="653"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B3</w:t>
            </w:r>
          </w:p>
        </w:tc>
        <w:tc>
          <w:tcPr>
            <w:tcW w:w="127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投标人偿付能力状况</w:t>
            </w:r>
          </w:p>
        </w:tc>
        <w:tc>
          <w:tcPr>
            <w:tcW w:w="5989" w:type="dxa"/>
            <w:vAlign w:val="center"/>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根据投标人提供的所属总公司2022年四季度末综合偿付能力状况进行评分：综合偿付能力充足率在200%及以上得3分，200%-150%之间得2分，150%（含）-100%之间得1分，低于100%得0分。注：提供中国保险行业协会网站：http://icid.idchina.cn/#查询结果原始页面的打印件（或截图）并加盖投标人公章，未提供不得分。</w:t>
            </w:r>
          </w:p>
        </w:tc>
        <w:tc>
          <w:tcPr>
            <w:tcW w:w="912"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25" w:hRule="atLeast"/>
        </w:trPr>
        <w:tc>
          <w:tcPr>
            <w:tcW w:w="653"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B4</w:t>
            </w:r>
          </w:p>
        </w:tc>
        <w:tc>
          <w:tcPr>
            <w:tcW w:w="127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保费规模</w:t>
            </w:r>
          </w:p>
        </w:tc>
        <w:tc>
          <w:tcPr>
            <w:tcW w:w="5989" w:type="dxa"/>
          </w:tcPr>
          <w:p>
            <w:pPr>
              <w:spacing w:line="360" w:lineRule="auto"/>
              <w:rPr>
                <w:rFonts w:ascii="宋体" w:hAnsi="宋体" w:cs="宋体"/>
                <w:color w:val="auto"/>
                <w:sz w:val="24"/>
                <w:szCs w:val="24"/>
              </w:rPr>
            </w:pPr>
            <w:r>
              <w:rPr>
                <w:rFonts w:hint="eastAsia" w:ascii="宋体" w:hAnsi="宋体" w:cs="宋体"/>
                <w:color w:val="auto"/>
                <w:sz w:val="24"/>
                <w:szCs w:val="24"/>
              </w:rPr>
              <w:t>根据投标人提供的所属总公司2022年的总保费规模大小进行排名评分，位于前5名的得3分；位于6-10名的得2分；位于11-15名的得1分；其余不得分。</w:t>
            </w:r>
          </w:p>
          <w:p>
            <w:pPr>
              <w:spacing w:line="360" w:lineRule="auto"/>
              <w:rPr>
                <w:rFonts w:ascii="宋体" w:hAnsi="宋体" w:cs="宋体"/>
                <w:color w:val="auto"/>
                <w:sz w:val="24"/>
                <w:szCs w:val="24"/>
              </w:rPr>
            </w:pPr>
            <w:r>
              <w:rPr>
                <w:rFonts w:hint="eastAsia" w:ascii="宋体" w:hAnsi="宋体" w:cs="宋体"/>
                <w:color w:val="auto"/>
                <w:sz w:val="24"/>
                <w:szCs w:val="24"/>
              </w:rPr>
              <w:t>注：</w:t>
            </w:r>
            <w:r>
              <w:rPr>
                <w:rFonts w:hint="eastAsia" w:ascii="宋体" w:hAnsi="宋体" w:cs="宋体"/>
                <w:b/>
                <w:bCs/>
                <w:color w:val="auto"/>
                <w:sz w:val="24"/>
                <w:szCs w:val="24"/>
              </w:rPr>
              <w:t>提供中国保险行业协会公布的2022年度信息披露报告关键页截图，并加盖投标人公章。</w:t>
            </w:r>
          </w:p>
        </w:tc>
        <w:tc>
          <w:tcPr>
            <w:tcW w:w="912"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25" w:hRule="atLeast"/>
        </w:trPr>
        <w:tc>
          <w:tcPr>
            <w:tcW w:w="653" w:type="dxa"/>
            <w:vAlign w:val="center"/>
          </w:tcPr>
          <w:p>
            <w:pPr>
              <w:spacing w:line="360" w:lineRule="auto"/>
              <w:jc w:val="center"/>
              <w:rPr>
                <w:rFonts w:ascii="宋体" w:hAnsi="宋体"/>
                <w:bCs/>
                <w:color w:val="auto"/>
                <w:sz w:val="24"/>
                <w:szCs w:val="24"/>
              </w:rPr>
            </w:pPr>
            <w:r>
              <w:rPr>
                <w:rFonts w:hint="eastAsia" w:ascii="宋体" w:hAnsi="宋体"/>
                <w:bCs/>
                <w:color w:val="auto"/>
                <w:sz w:val="24"/>
                <w:szCs w:val="24"/>
              </w:rPr>
              <w:t>B5</w:t>
            </w:r>
          </w:p>
        </w:tc>
        <w:tc>
          <w:tcPr>
            <w:tcW w:w="1275" w:type="dxa"/>
            <w:vAlign w:val="center"/>
          </w:tcPr>
          <w:p>
            <w:pPr>
              <w:spacing w:line="360" w:lineRule="auto"/>
              <w:jc w:val="center"/>
              <w:rPr>
                <w:rFonts w:ascii="宋体" w:hAnsi="宋体"/>
                <w:bCs/>
                <w:color w:val="auto"/>
                <w:sz w:val="24"/>
                <w:szCs w:val="24"/>
              </w:rPr>
            </w:pPr>
            <w:r>
              <w:rPr>
                <w:rFonts w:hint="eastAsia" w:ascii="宋体" w:hAnsi="宋体"/>
                <w:bCs/>
                <w:color w:val="auto"/>
                <w:sz w:val="24"/>
                <w:szCs w:val="24"/>
              </w:rPr>
              <w:t>服务质量测评</w:t>
            </w:r>
          </w:p>
        </w:tc>
        <w:tc>
          <w:tcPr>
            <w:tcW w:w="5989" w:type="dxa"/>
          </w:tcPr>
          <w:p>
            <w:pPr>
              <w:spacing w:line="360" w:lineRule="auto"/>
              <w:rPr>
                <w:rFonts w:ascii="宋体" w:hAnsi="宋体"/>
                <w:bCs/>
                <w:color w:val="auto"/>
                <w:sz w:val="24"/>
                <w:szCs w:val="24"/>
              </w:rPr>
            </w:pPr>
            <w:r>
              <w:rPr>
                <w:rFonts w:hint="eastAsia" w:ascii="宋体" w:hAnsi="宋体"/>
                <w:bCs/>
                <w:color w:val="auto"/>
                <w:sz w:val="24"/>
                <w:szCs w:val="24"/>
              </w:rPr>
              <w:t>根据中国银行保险监督管理委员会监管局网站上公布的“2022年四季度车险理赔服务质量测评结果”排名进行打分，1-10名得3分，11-20名得1.5分，20名之后不得分。</w:t>
            </w:r>
          </w:p>
          <w:p>
            <w:pPr>
              <w:spacing w:line="360" w:lineRule="auto"/>
              <w:rPr>
                <w:rFonts w:ascii="宋体" w:hAnsi="宋体"/>
                <w:bCs/>
                <w:color w:val="auto"/>
                <w:sz w:val="24"/>
                <w:szCs w:val="24"/>
              </w:rPr>
            </w:pPr>
            <w:r>
              <w:rPr>
                <w:rFonts w:hint="eastAsia" w:ascii="宋体" w:hAnsi="宋体" w:cs="宋体"/>
                <w:color w:val="auto"/>
                <w:sz w:val="24"/>
                <w:szCs w:val="24"/>
              </w:rPr>
              <w:t>注：</w:t>
            </w:r>
            <w:r>
              <w:rPr>
                <w:rFonts w:hint="eastAsia" w:ascii="宋体" w:hAnsi="宋体" w:cs="宋体"/>
                <w:b/>
                <w:bCs/>
                <w:color w:val="auto"/>
                <w:sz w:val="24"/>
                <w:szCs w:val="24"/>
              </w:rPr>
              <w:t>提供中国银行保险监督管理委员会官方网页截图，并加盖投标人公章</w:t>
            </w:r>
          </w:p>
        </w:tc>
        <w:tc>
          <w:tcPr>
            <w:tcW w:w="912" w:type="dxa"/>
            <w:vAlign w:val="center"/>
          </w:tcPr>
          <w:p>
            <w:pPr>
              <w:spacing w:line="360" w:lineRule="auto"/>
              <w:jc w:val="center"/>
              <w:rPr>
                <w:rFonts w:ascii="宋体" w:hAnsi="宋体"/>
                <w:bCs/>
                <w:color w:val="auto"/>
                <w:sz w:val="24"/>
                <w:szCs w:val="24"/>
              </w:rPr>
            </w:pPr>
            <w:r>
              <w:rPr>
                <w:rFonts w:hint="eastAsia" w:ascii="宋体" w:hAnsi="宋体"/>
                <w:bCs/>
                <w:color w:val="auto"/>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70" w:hRule="atLeast"/>
        </w:trPr>
        <w:tc>
          <w:tcPr>
            <w:tcW w:w="653"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B6</w:t>
            </w:r>
          </w:p>
        </w:tc>
        <w:tc>
          <w:tcPr>
            <w:tcW w:w="127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经营评价</w:t>
            </w:r>
          </w:p>
        </w:tc>
        <w:tc>
          <w:tcPr>
            <w:tcW w:w="5989" w:type="dxa"/>
            <w:vAlign w:val="center"/>
          </w:tcPr>
          <w:p>
            <w:pPr>
              <w:spacing w:line="360" w:lineRule="auto"/>
              <w:rPr>
                <w:rFonts w:ascii="宋体" w:hAnsi="宋体" w:cs="宋体"/>
                <w:color w:val="auto"/>
                <w:sz w:val="24"/>
                <w:szCs w:val="24"/>
              </w:rPr>
            </w:pPr>
            <w:r>
              <w:rPr>
                <w:rFonts w:hint="eastAsia" w:ascii="宋体" w:hAnsi="宋体" w:cs="宋体"/>
                <w:color w:val="auto"/>
                <w:sz w:val="24"/>
                <w:szCs w:val="24"/>
              </w:rPr>
              <w:t>根据投标人(或所属总公司或分支机构)202</w:t>
            </w:r>
            <w:r>
              <w:rPr>
                <w:rFonts w:hint="eastAsia" w:ascii="宋体" w:hAnsi="宋体" w:cs="宋体"/>
                <w:color w:val="auto"/>
                <w:sz w:val="24"/>
                <w:szCs w:val="24"/>
                <w:lang w:val="en-US" w:eastAsia="zh-CN"/>
              </w:rPr>
              <w:t>0</w:t>
            </w:r>
            <w:r>
              <w:rPr>
                <w:rFonts w:hint="eastAsia" w:ascii="宋体" w:hAnsi="宋体" w:cs="宋体"/>
                <w:color w:val="auto"/>
                <w:sz w:val="24"/>
                <w:szCs w:val="24"/>
              </w:rPr>
              <w:t>年度保险公司法人机构经营评价结果由评委会进行评分:评价为A的得3分:评价为B的得2分:评价为C的得1分，其他不得分。须提供中国保险行业协会官网公布的</w:t>
            </w:r>
            <w:bookmarkStart w:id="75" w:name="_GoBack"/>
            <w:bookmarkEnd w:id="75"/>
            <w:r>
              <w:rPr>
                <w:rFonts w:hint="eastAsia" w:ascii="宋体" w:hAnsi="宋体" w:cs="宋体"/>
                <w:color w:val="auto"/>
                <w:sz w:val="24"/>
                <w:szCs w:val="24"/>
              </w:rPr>
              <w:t>经营评价结果打印件或截图，否则不得分。</w:t>
            </w:r>
          </w:p>
        </w:tc>
        <w:tc>
          <w:tcPr>
            <w:tcW w:w="912"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70" w:hRule="atLeast"/>
        </w:trPr>
        <w:tc>
          <w:tcPr>
            <w:tcW w:w="653" w:type="dxa"/>
            <w:vAlign w:val="center"/>
          </w:tcPr>
          <w:p>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B7</w:t>
            </w:r>
          </w:p>
        </w:tc>
        <w:tc>
          <w:tcPr>
            <w:tcW w:w="1275" w:type="dxa"/>
            <w:vAlign w:val="center"/>
          </w:tcPr>
          <w:p>
            <w:pPr>
              <w:spacing w:line="360" w:lineRule="auto"/>
              <w:jc w:val="center"/>
              <w:rPr>
                <w:rFonts w:ascii="宋体" w:hAnsi="宋体" w:cs="宋体"/>
                <w:color w:val="auto"/>
                <w:sz w:val="24"/>
                <w:szCs w:val="24"/>
              </w:rPr>
            </w:pPr>
            <w:r>
              <w:rPr>
                <w:rFonts w:hint="eastAsia" w:ascii="宋体" w:hAnsi="宋体" w:cs="宋体"/>
                <w:color w:val="auto"/>
                <w:kern w:val="0"/>
                <w:sz w:val="24"/>
                <w:szCs w:val="24"/>
              </w:rPr>
              <w:t>消费者有效投诉量</w:t>
            </w:r>
          </w:p>
        </w:tc>
        <w:tc>
          <w:tcPr>
            <w:tcW w:w="5989" w:type="dxa"/>
            <w:vAlign w:val="center"/>
          </w:tcPr>
          <w:p>
            <w:pPr>
              <w:spacing w:line="440" w:lineRule="exact"/>
              <w:rPr>
                <w:rFonts w:ascii="宋体" w:hAnsi="宋体" w:cs="宋体"/>
                <w:color w:val="auto"/>
                <w:sz w:val="24"/>
                <w:szCs w:val="24"/>
              </w:rPr>
            </w:pPr>
            <w:r>
              <w:rPr>
                <w:rFonts w:hint="eastAsia" w:ascii="宋体" w:hAnsi="宋体" w:cs="宋体"/>
                <w:color w:val="auto"/>
                <w:kern w:val="0"/>
                <w:sz w:val="24"/>
                <w:szCs w:val="24"/>
              </w:rPr>
              <w:t>根据各投标人所属总公司2022年第四季度最新亿元保费投诉量进行评分，亿元保费投诉量（件/亿元）在0到0.5（含）以下的得3分；在0.5到1（含）的得2分；在1到1.5（含）的得1分；1.5以上不得分须提供中国银保监会的公示网页截图或打印件并加盖投标人公章，未提供不得分。</w:t>
            </w:r>
          </w:p>
        </w:tc>
        <w:tc>
          <w:tcPr>
            <w:tcW w:w="912" w:type="dxa"/>
            <w:vAlign w:val="center"/>
          </w:tcPr>
          <w:p>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70" w:hRule="atLeast"/>
        </w:trPr>
        <w:tc>
          <w:tcPr>
            <w:tcW w:w="653"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B8</w:t>
            </w:r>
          </w:p>
        </w:tc>
        <w:tc>
          <w:tcPr>
            <w:tcW w:w="1275" w:type="dxa"/>
            <w:vAlign w:val="center"/>
          </w:tcPr>
          <w:p>
            <w:pPr>
              <w:widowControl/>
              <w:jc w:val="center"/>
              <w:rPr>
                <w:rFonts w:ascii="宋体" w:hAnsi="宋体" w:cs="宋体"/>
                <w:color w:val="auto"/>
                <w:kern w:val="1"/>
                <w:sz w:val="24"/>
                <w:szCs w:val="24"/>
              </w:rPr>
            </w:pPr>
            <w:r>
              <w:rPr>
                <w:rFonts w:hint="eastAsia" w:ascii="宋体" w:hAnsi="宋体" w:cs="宋体"/>
                <w:color w:val="auto"/>
                <w:kern w:val="1"/>
                <w:sz w:val="24"/>
                <w:szCs w:val="24"/>
              </w:rPr>
              <w:t>培训计划</w:t>
            </w:r>
          </w:p>
        </w:tc>
        <w:tc>
          <w:tcPr>
            <w:tcW w:w="5989" w:type="dxa"/>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根据投标人提供本项目保险期内对采购人制定的培训计划（包括但不限于定期举办保险知识、风险管理及理赔讲座等方面）由评委进行评分：培训计划在满足基本要求基础上增加有利于项目实施方案内容的得3分，只是满足基本要求的得2分，未完全响应基本要求存在缺项的得1分，未提供的不得分。</w:t>
            </w:r>
          </w:p>
        </w:tc>
        <w:tc>
          <w:tcPr>
            <w:tcW w:w="912" w:type="dxa"/>
            <w:vAlign w:val="center"/>
          </w:tcPr>
          <w:p>
            <w:pPr>
              <w:spacing w:line="440" w:lineRule="exact"/>
              <w:ind w:left="-99" w:leftChars="-47" w:right="-78" w:rightChars="-37"/>
              <w:jc w:val="center"/>
              <w:rPr>
                <w:rFonts w:ascii="宋体" w:hAnsi="宋体"/>
                <w:color w:val="auto"/>
                <w:sz w:val="24"/>
                <w:szCs w:val="24"/>
              </w:rPr>
            </w:pPr>
            <w:r>
              <w:rPr>
                <w:rFonts w:hint="eastAsia" w:ascii="宋体" w:hAnsi="宋体" w:cs="宋体"/>
                <w:color w:val="auto"/>
                <w:kern w:val="0"/>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8" w:hRule="atLeast"/>
        </w:trPr>
        <w:tc>
          <w:tcPr>
            <w:tcW w:w="7917" w:type="dxa"/>
            <w:gridSpan w:val="3"/>
            <w:vAlign w:val="center"/>
          </w:tcPr>
          <w:p>
            <w:pPr>
              <w:spacing w:line="360" w:lineRule="auto"/>
              <w:jc w:val="center"/>
              <w:rPr>
                <w:rFonts w:ascii="宋体" w:hAnsi="宋体" w:cs="宋体"/>
                <w:color w:val="auto"/>
                <w:sz w:val="24"/>
                <w:szCs w:val="24"/>
              </w:rPr>
            </w:pPr>
            <w:r>
              <w:rPr>
                <w:rFonts w:hint="eastAsia" w:ascii="宋体" w:hAnsi="宋体" w:cs="宋体"/>
                <w:b/>
                <w:bCs/>
                <w:color w:val="auto"/>
                <w:sz w:val="24"/>
                <w:szCs w:val="24"/>
              </w:rPr>
              <w:t>商务总得分</w:t>
            </w:r>
          </w:p>
        </w:tc>
        <w:tc>
          <w:tcPr>
            <w:tcW w:w="912"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24分</w:t>
            </w:r>
          </w:p>
        </w:tc>
      </w:tr>
    </w:tbl>
    <w:p>
      <w:pPr>
        <w:spacing w:line="400" w:lineRule="exact"/>
        <w:ind w:firstLine="241" w:firstLineChars="100"/>
        <w:rPr>
          <w:rFonts w:ascii="宋体" w:hAnsi="宋体"/>
          <w:b/>
          <w:color w:val="auto"/>
          <w:sz w:val="24"/>
          <w:shd w:val="pct10" w:color="auto" w:fill="FFFFFF"/>
        </w:rPr>
      </w:pPr>
    </w:p>
    <w:p>
      <w:pPr>
        <w:spacing w:line="400" w:lineRule="exact"/>
        <w:ind w:firstLine="241" w:firstLineChars="100"/>
        <w:rPr>
          <w:rFonts w:ascii="宋体" w:hAnsi="宋体"/>
          <w:b/>
          <w:color w:val="auto"/>
          <w:sz w:val="24"/>
          <w:shd w:val="pct10" w:color="auto" w:fill="FFFFFF"/>
        </w:rPr>
      </w:pPr>
      <w:r>
        <w:rPr>
          <w:rFonts w:hint="eastAsia" w:ascii="宋体" w:hAnsi="宋体"/>
          <w:b/>
          <w:color w:val="auto"/>
          <w:sz w:val="24"/>
          <w:shd w:val="pct10" w:color="auto" w:fill="FFFFFF"/>
        </w:rPr>
        <w:t xml:space="preserve">三、PF：报价部分评分    (满分15分)： </w:t>
      </w:r>
    </w:p>
    <w:tbl>
      <w:tblPr>
        <w:tblStyle w:val="37"/>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055"/>
        <w:gridCol w:w="981"/>
        <w:gridCol w:w="6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ascii="宋体" w:hAnsi="宋体" w:cs="宋体"/>
                <w:b/>
                <w:bCs/>
                <w:color w:val="auto"/>
                <w:sz w:val="24"/>
                <w:szCs w:val="24"/>
              </w:rPr>
            </w:pPr>
            <w:bookmarkStart w:id="10" w:name="_Toc277779951"/>
            <w:bookmarkStart w:id="11" w:name="_Toc352224149"/>
            <w:r>
              <w:rPr>
                <w:rFonts w:hint="eastAsia" w:ascii="宋体" w:hAnsi="宋体" w:cs="宋体"/>
                <w:color w:val="auto"/>
                <w:sz w:val="24"/>
                <w:szCs w:val="24"/>
              </w:rPr>
              <w:t>序号</w:t>
            </w:r>
          </w:p>
        </w:tc>
        <w:tc>
          <w:tcPr>
            <w:tcW w:w="1055"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ascii="宋体" w:hAnsi="宋体" w:cs="宋体"/>
                <w:b/>
                <w:bCs/>
                <w:color w:val="auto"/>
                <w:sz w:val="24"/>
                <w:szCs w:val="24"/>
              </w:rPr>
            </w:pPr>
            <w:r>
              <w:rPr>
                <w:rFonts w:hint="eastAsia" w:ascii="宋体" w:hAnsi="宋体" w:cs="宋体"/>
                <w:color w:val="auto"/>
                <w:sz w:val="24"/>
                <w:szCs w:val="24"/>
              </w:rPr>
              <w:t>评标项目</w:t>
            </w:r>
          </w:p>
        </w:tc>
        <w:tc>
          <w:tcPr>
            <w:tcW w:w="981"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ascii="宋体" w:hAnsi="宋体" w:cs="宋体"/>
                <w:color w:val="auto"/>
                <w:sz w:val="24"/>
                <w:szCs w:val="24"/>
              </w:rPr>
            </w:pPr>
            <w:r>
              <w:rPr>
                <w:rFonts w:hint="eastAsia" w:ascii="宋体" w:hAnsi="宋体" w:cs="宋体"/>
                <w:color w:val="auto"/>
                <w:sz w:val="24"/>
                <w:szCs w:val="24"/>
              </w:rPr>
              <w:t>评标权重</w:t>
            </w:r>
          </w:p>
        </w:tc>
        <w:tc>
          <w:tcPr>
            <w:tcW w:w="6189"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ascii="宋体" w:hAnsi="宋体" w:cs="宋体"/>
                <w:color w:val="auto"/>
                <w:sz w:val="24"/>
                <w:szCs w:val="24"/>
              </w:rPr>
            </w:pPr>
            <w:r>
              <w:rPr>
                <w:rFonts w:hint="eastAsia" w:ascii="宋体" w:hAnsi="宋体" w:cs="宋体"/>
                <w:color w:val="auto"/>
                <w:sz w:val="24"/>
                <w:szCs w:val="24"/>
              </w:rPr>
              <w:t>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ascii="宋体" w:hAnsi="宋体" w:cs="宋体"/>
                <w:color w:val="auto"/>
                <w:sz w:val="24"/>
                <w:szCs w:val="24"/>
              </w:rPr>
            </w:pPr>
            <w:r>
              <w:rPr>
                <w:rFonts w:hint="eastAsia" w:ascii="宋体" w:hAnsi="宋体" w:cs="宋体"/>
                <w:b/>
                <w:bCs/>
                <w:color w:val="auto"/>
                <w:sz w:val="24"/>
                <w:szCs w:val="24"/>
              </w:rPr>
              <w:t>一</w:t>
            </w:r>
          </w:p>
        </w:tc>
        <w:tc>
          <w:tcPr>
            <w:tcW w:w="1055"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ascii="宋体" w:hAnsi="宋体" w:cs="宋体"/>
                <w:b/>
                <w:color w:val="auto"/>
                <w:sz w:val="24"/>
                <w:szCs w:val="24"/>
              </w:rPr>
            </w:pPr>
            <w:r>
              <w:rPr>
                <w:rFonts w:hint="eastAsia" w:ascii="宋体" w:hAnsi="宋体" w:cs="宋体"/>
                <w:b/>
                <w:color w:val="auto"/>
                <w:sz w:val="24"/>
                <w:szCs w:val="24"/>
              </w:rPr>
              <w:t>A:报价部分评分</w:t>
            </w:r>
          </w:p>
          <w:p>
            <w:pPr>
              <w:spacing w:line="480" w:lineRule="exact"/>
              <w:jc w:val="center"/>
              <w:rPr>
                <w:rFonts w:ascii="宋体" w:hAnsi="宋体" w:cs="宋体"/>
                <w:b/>
                <w:color w:val="auto"/>
                <w:sz w:val="24"/>
                <w:szCs w:val="24"/>
              </w:rPr>
            </w:pPr>
          </w:p>
        </w:tc>
        <w:tc>
          <w:tcPr>
            <w:tcW w:w="981"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ascii="宋体" w:hAnsi="宋体" w:cs="宋体"/>
                <w:color w:val="auto"/>
                <w:sz w:val="24"/>
                <w:szCs w:val="24"/>
              </w:rPr>
            </w:pPr>
            <w:r>
              <w:rPr>
                <w:rFonts w:hint="eastAsia" w:ascii="宋体" w:hAnsi="宋体" w:cs="宋体"/>
                <w:color w:val="auto"/>
                <w:sz w:val="24"/>
                <w:szCs w:val="24"/>
              </w:rPr>
              <w:t>15分</w:t>
            </w:r>
          </w:p>
        </w:tc>
        <w:tc>
          <w:tcPr>
            <w:tcW w:w="6189"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left"/>
              <w:rPr>
                <w:rFonts w:ascii="宋体" w:hAnsi="宋体" w:cs="宋体"/>
                <w:b/>
                <w:color w:val="auto"/>
                <w:sz w:val="24"/>
                <w:szCs w:val="24"/>
              </w:rPr>
            </w:pPr>
            <w:r>
              <w:rPr>
                <w:rFonts w:hint="eastAsia" w:ascii="宋体" w:hAnsi="宋体" w:cs="宋体"/>
                <w:b/>
                <w:color w:val="auto"/>
                <w:sz w:val="24"/>
                <w:szCs w:val="24"/>
              </w:rPr>
              <w:t>按合同包对各投标人的报价进行数字校核，称为报价评标价。</w:t>
            </w:r>
          </w:p>
          <w:p>
            <w:pPr>
              <w:spacing w:line="480" w:lineRule="exact"/>
              <w:jc w:val="left"/>
              <w:rPr>
                <w:rFonts w:ascii="宋体" w:hAnsi="宋体" w:cs="宋体"/>
                <w:b/>
                <w:color w:val="auto"/>
                <w:sz w:val="24"/>
                <w:szCs w:val="24"/>
              </w:rPr>
            </w:pPr>
            <w:r>
              <w:rPr>
                <w:rFonts w:hint="eastAsia" w:ascii="宋体" w:hAnsi="宋体" w:cs="宋体"/>
                <w:b/>
                <w:color w:val="auto"/>
                <w:sz w:val="24"/>
                <w:szCs w:val="24"/>
              </w:rPr>
              <w:t>各投标人的价格得分A=A1+A2+A3，分别按以下方式得出：</w:t>
            </w:r>
          </w:p>
          <w:p>
            <w:pPr>
              <w:spacing w:line="480" w:lineRule="exact"/>
              <w:jc w:val="left"/>
              <w:rPr>
                <w:rFonts w:ascii="宋体" w:hAnsi="宋体" w:cs="宋体"/>
                <w:b/>
                <w:color w:val="auto"/>
                <w:sz w:val="24"/>
                <w:szCs w:val="24"/>
              </w:rPr>
            </w:pPr>
            <w:r>
              <w:rPr>
                <w:rFonts w:hint="eastAsia" w:ascii="宋体" w:hAnsi="宋体" w:cs="宋体"/>
                <w:b/>
                <w:color w:val="auto"/>
                <w:sz w:val="24"/>
                <w:szCs w:val="24"/>
              </w:rPr>
              <w:t>A1、投标人机动车辆商业险报价得分（A1，满分5分）</w:t>
            </w:r>
          </w:p>
          <w:p>
            <w:pPr>
              <w:spacing w:line="480" w:lineRule="exact"/>
              <w:jc w:val="left"/>
              <w:rPr>
                <w:rFonts w:ascii="宋体" w:hAnsi="宋体" w:cs="宋体"/>
                <w:b/>
                <w:color w:val="auto"/>
                <w:sz w:val="24"/>
                <w:szCs w:val="24"/>
              </w:rPr>
            </w:pPr>
            <w:r>
              <w:rPr>
                <w:rFonts w:hint="eastAsia" w:ascii="宋体" w:hAnsi="宋体" w:cs="宋体"/>
                <w:b/>
                <w:color w:val="auto"/>
                <w:sz w:val="24"/>
                <w:szCs w:val="24"/>
              </w:rPr>
              <w:t>A1=（P低/ P）×5%×100</w:t>
            </w:r>
          </w:p>
          <w:p>
            <w:pPr>
              <w:spacing w:line="480" w:lineRule="exact"/>
              <w:jc w:val="left"/>
              <w:rPr>
                <w:rFonts w:ascii="宋体" w:hAnsi="宋体" w:cs="宋体"/>
                <w:b/>
                <w:color w:val="auto"/>
                <w:sz w:val="24"/>
                <w:szCs w:val="24"/>
              </w:rPr>
            </w:pPr>
            <w:r>
              <w:rPr>
                <w:rFonts w:hint="eastAsia" w:ascii="宋体" w:hAnsi="宋体" w:cs="宋体"/>
                <w:b/>
                <w:color w:val="auto"/>
                <w:sz w:val="24"/>
                <w:szCs w:val="24"/>
              </w:rPr>
              <w:t>其中，P：指通过资格性符合性审查的各投标人投报的机动车商业保险自主定价系数（根据银保监会的规定，自主定价系数在0.65-1.35之间）。</w:t>
            </w:r>
          </w:p>
          <w:p>
            <w:pPr>
              <w:spacing w:line="480" w:lineRule="exact"/>
              <w:jc w:val="left"/>
              <w:rPr>
                <w:rFonts w:ascii="宋体" w:hAnsi="宋体" w:cs="宋体"/>
                <w:b/>
                <w:color w:val="auto"/>
                <w:sz w:val="24"/>
                <w:szCs w:val="24"/>
              </w:rPr>
            </w:pPr>
            <w:r>
              <w:rPr>
                <w:rFonts w:hint="eastAsia" w:ascii="宋体" w:hAnsi="宋体" w:cs="宋体"/>
                <w:b/>
                <w:color w:val="auto"/>
                <w:sz w:val="24"/>
                <w:szCs w:val="24"/>
              </w:rPr>
              <w:t>P低：指通过资格性符合性审查的所有投标人机动车商业保险自主定价系数P中的最低值。</w:t>
            </w:r>
          </w:p>
          <w:p>
            <w:pPr>
              <w:spacing w:line="480" w:lineRule="exact"/>
              <w:jc w:val="left"/>
              <w:rPr>
                <w:rFonts w:ascii="宋体" w:hAnsi="宋体" w:cs="宋体"/>
                <w:b/>
                <w:color w:val="auto"/>
                <w:sz w:val="24"/>
                <w:szCs w:val="24"/>
              </w:rPr>
            </w:pPr>
            <w:r>
              <w:rPr>
                <w:rFonts w:hint="eastAsia" w:ascii="宋体" w:hAnsi="宋体" w:cs="宋体"/>
                <w:b/>
                <w:color w:val="auto"/>
                <w:sz w:val="24"/>
                <w:szCs w:val="24"/>
              </w:rPr>
              <w:t>补充说明：在计算时保留小数点后两位，小数点后第二位四舍五入。</w:t>
            </w:r>
          </w:p>
          <w:p>
            <w:pPr>
              <w:spacing w:line="480" w:lineRule="exact"/>
              <w:jc w:val="left"/>
              <w:rPr>
                <w:rFonts w:ascii="宋体" w:hAnsi="宋体" w:cs="宋体"/>
                <w:b/>
                <w:color w:val="auto"/>
                <w:sz w:val="24"/>
                <w:szCs w:val="24"/>
              </w:rPr>
            </w:pPr>
            <w:r>
              <w:rPr>
                <w:rFonts w:hint="eastAsia" w:ascii="宋体" w:hAnsi="宋体" w:cs="宋体"/>
                <w:b/>
                <w:color w:val="auto"/>
                <w:sz w:val="24"/>
                <w:szCs w:val="24"/>
              </w:rPr>
              <w:t>A2、投标人承运人责任险赔偿限额报价得分（A2，满分5分）</w:t>
            </w:r>
          </w:p>
          <w:p>
            <w:pPr>
              <w:spacing w:line="480" w:lineRule="exact"/>
              <w:jc w:val="left"/>
              <w:rPr>
                <w:rFonts w:ascii="宋体" w:hAnsi="宋体" w:cs="宋体"/>
                <w:b/>
                <w:color w:val="auto"/>
                <w:sz w:val="24"/>
                <w:szCs w:val="24"/>
              </w:rPr>
            </w:pPr>
            <w:r>
              <w:rPr>
                <w:rFonts w:hint="eastAsia" w:ascii="宋体" w:hAnsi="宋体" w:cs="宋体"/>
                <w:b/>
                <w:color w:val="auto"/>
                <w:sz w:val="24"/>
                <w:szCs w:val="24"/>
              </w:rPr>
              <w:t>承诺承运人责任险固定每座位赔偿限额报价60万元，不予变动。投标人承诺承运人责任险保费为120元/座·年得基础分3分，在此基础上保费每降低5元得1分，其他情况不加分，满分5分。</w:t>
            </w:r>
          </w:p>
          <w:p>
            <w:pPr>
              <w:spacing w:line="480" w:lineRule="exact"/>
              <w:jc w:val="left"/>
              <w:rPr>
                <w:rFonts w:ascii="宋体" w:hAnsi="宋体" w:cs="宋体"/>
                <w:b/>
                <w:color w:val="auto"/>
                <w:sz w:val="24"/>
                <w:szCs w:val="24"/>
              </w:rPr>
            </w:pPr>
            <w:r>
              <w:rPr>
                <w:rFonts w:hint="eastAsia" w:ascii="宋体" w:hAnsi="宋体" w:cs="宋体"/>
                <w:b/>
                <w:color w:val="auto"/>
                <w:sz w:val="24"/>
                <w:szCs w:val="24"/>
              </w:rPr>
              <w:t>A3、投标人安全生产责任险赔偿限额报价得分（A3，满分5分）</w:t>
            </w:r>
          </w:p>
          <w:p>
            <w:pPr>
              <w:spacing w:line="480" w:lineRule="exact"/>
              <w:jc w:val="left"/>
              <w:rPr>
                <w:rFonts w:ascii="宋体" w:hAnsi="宋体" w:cs="宋体"/>
                <w:b/>
                <w:color w:val="auto"/>
                <w:sz w:val="24"/>
                <w:szCs w:val="24"/>
              </w:rPr>
            </w:pPr>
            <w:r>
              <w:rPr>
                <w:rFonts w:hint="eastAsia" w:ascii="宋体" w:hAnsi="宋体" w:cs="宋体"/>
                <w:b/>
                <w:color w:val="auto"/>
                <w:sz w:val="24"/>
                <w:szCs w:val="24"/>
              </w:rPr>
              <w:t>安全生产责任险外勤人员固定保费为120元/人·年，内勤人员固定保费为60元/人·年，不予变动。投标人承诺安全生产责任险外勤人员赔偿限额50万元，内勤人员赔偿限额20万元，得基础分3分，在此基础上内外勤人员赔偿限额均增加5万元加1分，均增加10万加2分，其他情况不加分，满分5分。</w:t>
            </w:r>
          </w:p>
        </w:tc>
      </w:tr>
    </w:tbl>
    <w:p>
      <w:pPr>
        <w:spacing w:line="360" w:lineRule="auto"/>
        <w:jc w:val="center"/>
        <w:outlineLvl w:val="1"/>
        <w:rPr>
          <w:rFonts w:ascii="宋体" w:hAnsi="宋体"/>
          <w:color w:val="auto"/>
          <w:sz w:val="24"/>
        </w:rPr>
      </w:pPr>
      <w:r>
        <w:rPr>
          <w:rFonts w:hint="eastAsia" w:ascii="宋体" w:hAnsi="宋体"/>
          <w:color w:val="auto"/>
          <w:sz w:val="24"/>
        </w:rPr>
        <w:br w:type="page"/>
      </w:r>
      <w:r>
        <w:rPr>
          <w:rFonts w:hint="eastAsia" w:ascii="宋体" w:hAnsi="宋体"/>
          <w:color w:val="auto"/>
          <w:sz w:val="24"/>
        </w:rPr>
        <w:t>一、  说明</w:t>
      </w:r>
      <w:bookmarkEnd w:id="10"/>
      <w:bookmarkEnd w:id="11"/>
    </w:p>
    <w:p>
      <w:pPr>
        <w:spacing w:line="360" w:lineRule="auto"/>
        <w:rPr>
          <w:rFonts w:ascii="宋体" w:hAnsi="宋体"/>
          <w:color w:val="auto"/>
          <w:sz w:val="24"/>
        </w:rPr>
      </w:pPr>
      <w:r>
        <w:rPr>
          <w:rFonts w:ascii="宋体" w:hAnsi="宋体"/>
          <w:color w:val="auto"/>
          <w:sz w:val="24"/>
        </w:rPr>
        <w:t xml:space="preserve">1. </w:t>
      </w:r>
      <w:r>
        <w:rPr>
          <w:rFonts w:hint="eastAsia" w:ascii="宋体" w:hAnsi="宋体"/>
          <w:color w:val="auto"/>
          <w:sz w:val="24"/>
        </w:rPr>
        <w:t>适用范围</w:t>
      </w:r>
    </w:p>
    <w:p>
      <w:pPr>
        <w:spacing w:line="360" w:lineRule="auto"/>
        <w:ind w:firstLine="480"/>
        <w:rPr>
          <w:rFonts w:ascii="宋体" w:hAnsi="宋体"/>
          <w:color w:val="auto"/>
          <w:sz w:val="24"/>
        </w:rPr>
      </w:pPr>
      <w:r>
        <w:rPr>
          <w:rFonts w:ascii="宋体" w:hAnsi="宋体"/>
          <w:color w:val="auto"/>
          <w:sz w:val="24"/>
        </w:rPr>
        <w:t>1.1</w:t>
      </w:r>
      <w:r>
        <w:rPr>
          <w:rFonts w:hint="eastAsia" w:ascii="宋体" w:hAnsi="宋体"/>
          <w:color w:val="auto"/>
          <w:sz w:val="24"/>
        </w:rPr>
        <w:t xml:space="preserve">  本招标文件仅适用于投标邀请中所叙述项目的货物及服务采购。</w:t>
      </w:r>
    </w:p>
    <w:p>
      <w:pPr>
        <w:spacing w:line="360" w:lineRule="auto"/>
        <w:rPr>
          <w:rFonts w:ascii="宋体" w:hAnsi="宋体"/>
          <w:color w:val="auto"/>
          <w:sz w:val="24"/>
        </w:rPr>
      </w:pPr>
      <w:r>
        <w:rPr>
          <w:rFonts w:ascii="宋体" w:hAnsi="宋体"/>
          <w:color w:val="auto"/>
          <w:sz w:val="24"/>
        </w:rPr>
        <w:t xml:space="preserve">2. </w:t>
      </w:r>
      <w:r>
        <w:rPr>
          <w:rFonts w:hint="eastAsia" w:ascii="宋体" w:hAnsi="宋体"/>
          <w:color w:val="auto"/>
          <w:sz w:val="24"/>
        </w:rPr>
        <w:t>定义</w:t>
      </w:r>
    </w:p>
    <w:p>
      <w:pPr>
        <w:spacing w:line="360" w:lineRule="auto"/>
        <w:ind w:firstLine="480"/>
        <w:rPr>
          <w:rFonts w:ascii="宋体" w:hAnsi="宋体"/>
          <w:color w:val="auto"/>
          <w:sz w:val="24"/>
        </w:rPr>
      </w:pPr>
      <w:r>
        <w:rPr>
          <w:rFonts w:ascii="宋体" w:hAnsi="宋体"/>
          <w:color w:val="auto"/>
          <w:sz w:val="24"/>
        </w:rPr>
        <w:t>2.1</w:t>
      </w:r>
      <w:r>
        <w:rPr>
          <w:rFonts w:hint="eastAsia" w:ascii="宋体" w:hAnsi="宋体"/>
          <w:color w:val="auto"/>
          <w:sz w:val="24"/>
        </w:rPr>
        <w:t xml:space="preserve"> “采购人”系指本次采购项目的业主方。</w:t>
      </w:r>
    </w:p>
    <w:p>
      <w:pPr>
        <w:spacing w:line="360" w:lineRule="auto"/>
        <w:ind w:firstLine="480"/>
        <w:rPr>
          <w:rFonts w:ascii="宋体" w:hAnsi="宋体"/>
          <w:color w:val="auto"/>
          <w:sz w:val="24"/>
        </w:rPr>
      </w:pPr>
      <w:r>
        <w:rPr>
          <w:rFonts w:ascii="宋体" w:hAnsi="宋体"/>
          <w:color w:val="auto"/>
          <w:sz w:val="24"/>
        </w:rPr>
        <w:t>2.</w:t>
      </w:r>
      <w:r>
        <w:rPr>
          <w:rFonts w:hint="eastAsia" w:ascii="宋体" w:hAnsi="宋体"/>
          <w:color w:val="auto"/>
          <w:sz w:val="24"/>
        </w:rPr>
        <w:t>2 “招标采购单位”系指组织本次招标活动的采购人或招标代理机构。</w:t>
      </w:r>
    </w:p>
    <w:p>
      <w:pPr>
        <w:spacing w:line="360" w:lineRule="auto"/>
        <w:ind w:firstLine="480"/>
        <w:rPr>
          <w:rFonts w:ascii="宋体" w:hAnsi="宋体"/>
          <w:color w:val="auto"/>
          <w:sz w:val="24"/>
        </w:rPr>
      </w:pPr>
      <w:r>
        <w:rPr>
          <w:rFonts w:ascii="宋体" w:hAnsi="宋体"/>
          <w:color w:val="auto"/>
          <w:sz w:val="24"/>
        </w:rPr>
        <w:t>2.</w:t>
      </w:r>
      <w:r>
        <w:rPr>
          <w:rFonts w:hint="eastAsia" w:ascii="宋体" w:hAnsi="宋体"/>
          <w:color w:val="auto"/>
          <w:sz w:val="24"/>
        </w:rPr>
        <w:t>3 “招标代理机构”系指本次招标采购项目活动组织方。</w:t>
      </w:r>
    </w:p>
    <w:p>
      <w:pPr>
        <w:spacing w:line="360" w:lineRule="auto"/>
        <w:ind w:firstLine="480"/>
        <w:rPr>
          <w:rFonts w:ascii="宋体" w:hAnsi="宋体"/>
          <w:color w:val="auto"/>
          <w:sz w:val="24"/>
        </w:rPr>
      </w:pPr>
      <w:r>
        <w:rPr>
          <w:rFonts w:hint="eastAsia" w:ascii="宋体" w:hAnsi="宋体"/>
          <w:color w:val="auto"/>
          <w:sz w:val="24"/>
        </w:rPr>
        <w:t>2</w:t>
      </w:r>
      <w:r>
        <w:rPr>
          <w:rFonts w:ascii="宋体" w:hAnsi="宋体"/>
          <w:color w:val="auto"/>
          <w:sz w:val="24"/>
        </w:rPr>
        <w:t xml:space="preserve">.4 </w:t>
      </w:r>
      <w:r>
        <w:rPr>
          <w:rFonts w:hint="eastAsia" w:ascii="宋体" w:hAnsi="宋体"/>
          <w:color w:val="auto"/>
          <w:sz w:val="24"/>
        </w:rPr>
        <w:t>“投标人”系指购买了本招标文件，且已经提交或者准备提交本次投标文件的制造商或供货商。</w:t>
      </w:r>
    </w:p>
    <w:p>
      <w:pPr>
        <w:spacing w:line="360" w:lineRule="auto"/>
        <w:ind w:firstLine="480"/>
        <w:rPr>
          <w:rFonts w:ascii="宋体" w:hAnsi="宋体"/>
          <w:color w:val="auto"/>
          <w:sz w:val="24"/>
        </w:rPr>
      </w:pPr>
      <w:r>
        <w:rPr>
          <w:rFonts w:ascii="宋体" w:hAnsi="宋体"/>
          <w:color w:val="auto"/>
          <w:sz w:val="24"/>
        </w:rPr>
        <w:t>2</w:t>
      </w:r>
      <w:r>
        <w:rPr>
          <w:rFonts w:hint="eastAsia" w:ascii="宋体" w:hAnsi="宋体"/>
          <w:color w:val="auto"/>
          <w:sz w:val="24"/>
        </w:rPr>
        <w:t>.5 “货物”系指卖方按招标文件规定向买方提供的一切设备、机械、仪器仪表、备品备件、工具、手册及其它有关技术资料和材料。</w:t>
      </w:r>
    </w:p>
    <w:p>
      <w:pPr>
        <w:spacing w:line="360" w:lineRule="auto"/>
        <w:ind w:firstLine="480"/>
        <w:rPr>
          <w:rFonts w:ascii="宋体" w:hAnsi="宋体"/>
          <w:color w:val="auto"/>
          <w:sz w:val="24"/>
        </w:rPr>
      </w:pPr>
      <w:r>
        <w:rPr>
          <w:rFonts w:ascii="宋体" w:hAnsi="宋体"/>
          <w:color w:val="auto"/>
          <w:sz w:val="24"/>
        </w:rPr>
        <w:t>2</w:t>
      </w:r>
      <w:r>
        <w:rPr>
          <w:rFonts w:hint="eastAsia" w:ascii="宋体" w:hAnsi="宋体"/>
          <w:color w:val="auto"/>
          <w:sz w:val="24"/>
        </w:rPr>
        <w:t>.6 “服务”系指招标文件规定卖方须承担的安装、调试、技术协助、校准、培训以及其他类似的义务。</w:t>
      </w:r>
    </w:p>
    <w:p>
      <w:pPr>
        <w:spacing w:line="360" w:lineRule="auto"/>
        <w:rPr>
          <w:rFonts w:ascii="宋体" w:hAnsi="宋体"/>
          <w:color w:val="auto"/>
          <w:sz w:val="24"/>
        </w:rPr>
      </w:pPr>
      <w:r>
        <w:rPr>
          <w:rFonts w:ascii="宋体" w:hAnsi="宋体"/>
          <w:color w:val="auto"/>
          <w:sz w:val="24"/>
        </w:rPr>
        <w:t xml:space="preserve">3. </w:t>
      </w:r>
      <w:r>
        <w:rPr>
          <w:rFonts w:hint="eastAsia" w:ascii="宋体" w:hAnsi="宋体"/>
          <w:color w:val="auto"/>
          <w:sz w:val="24"/>
        </w:rPr>
        <w:t>合格的投标人</w:t>
      </w:r>
    </w:p>
    <w:p>
      <w:pPr>
        <w:spacing w:line="360" w:lineRule="auto"/>
        <w:ind w:firstLine="482" w:firstLineChars="200"/>
        <w:rPr>
          <w:rFonts w:ascii="宋体" w:hAnsi="宋体"/>
          <w:b/>
          <w:color w:val="auto"/>
          <w:sz w:val="24"/>
          <w:shd w:val="pct10" w:color="auto" w:fill="FFFFFF"/>
        </w:rPr>
      </w:pPr>
      <w:r>
        <w:rPr>
          <w:rFonts w:ascii="宋体" w:hAnsi="宋体"/>
          <w:b/>
          <w:color w:val="auto"/>
          <w:sz w:val="24"/>
          <w:shd w:val="pct10" w:color="auto" w:fill="FFFFFF"/>
        </w:rPr>
        <w:t>3.1</w:t>
      </w:r>
      <w:r>
        <w:rPr>
          <w:rFonts w:hint="eastAsia" w:ascii="宋体" w:hAnsi="宋体"/>
          <w:b/>
          <w:color w:val="auto"/>
          <w:sz w:val="24"/>
          <w:shd w:val="pct10" w:color="auto" w:fill="FFFFFF"/>
        </w:rPr>
        <w:t>投标人必须具备中国保险监督管理委员会批准开展本招标项目保险业务的资格，且设有经保监会批准的分支机构（分支机构只需提供分支机构材料），有能力提供招标服务的投标人均可能成为合格的中标人（总公司属于同一商业保险集团公司的，不能同时参加本项目投标）。需提交以下资质证明文件：</w:t>
      </w:r>
    </w:p>
    <w:p>
      <w:pPr>
        <w:spacing w:line="360" w:lineRule="auto"/>
        <w:ind w:firstLine="610" w:firstLineChars="253"/>
        <w:rPr>
          <w:rFonts w:ascii="宋体" w:hAnsi="宋体"/>
          <w:b/>
          <w:color w:val="auto"/>
          <w:sz w:val="24"/>
          <w:shd w:val="pct10" w:color="auto" w:fill="FFFFFF"/>
        </w:rPr>
      </w:pPr>
      <w:r>
        <w:rPr>
          <w:rFonts w:hint="eastAsia" w:ascii="宋体" w:hAnsi="宋体"/>
          <w:b/>
          <w:color w:val="auto"/>
          <w:sz w:val="24"/>
          <w:shd w:val="pct10" w:color="auto" w:fill="FFFFFF"/>
        </w:rPr>
        <w:t>（1）投标人的合格营业执照副本复印件；</w:t>
      </w:r>
    </w:p>
    <w:p>
      <w:pPr>
        <w:spacing w:line="360" w:lineRule="auto"/>
        <w:ind w:firstLine="610" w:firstLineChars="253"/>
        <w:rPr>
          <w:rFonts w:ascii="宋体" w:hAnsi="宋体"/>
          <w:b/>
          <w:color w:val="auto"/>
          <w:sz w:val="24"/>
          <w:shd w:val="pct10" w:color="auto" w:fill="FFFFFF"/>
        </w:rPr>
      </w:pPr>
      <w:r>
        <w:rPr>
          <w:rFonts w:hint="eastAsia" w:ascii="宋体" w:hAnsi="宋体"/>
          <w:b/>
          <w:color w:val="auto"/>
          <w:sz w:val="24"/>
          <w:shd w:val="pct10" w:color="auto" w:fill="FFFFFF"/>
        </w:rPr>
        <w:t>（2）法定代表人/负责人</w:t>
      </w:r>
      <w:r>
        <w:rPr>
          <w:rFonts w:ascii="宋体" w:hAnsi="宋体"/>
          <w:b/>
          <w:color w:val="auto"/>
          <w:sz w:val="24"/>
          <w:shd w:val="pct10" w:color="auto" w:fill="FFFFFF"/>
        </w:rPr>
        <w:t>身份证</w:t>
      </w:r>
      <w:r>
        <w:rPr>
          <w:rFonts w:hint="eastAsia" w:ascii="宋体" w:hAnsi="宋体"/>
          <w:b/>
          <w:color w:val="auto"/>
          <w:sz w:val="24"/>
          <w:shd w:val="pct10" w:color="auto" w:fill="FFFFFF"/>
        </w:rPr>
        <w:t>（正反面的</w:t>
      </w:r>
      <w:r>
        <w:rPr>
          <w:rFonts w:ascii="宋体" w:hAnsi="宋体"/>
          <w:b/>
          <w:color w:val="auto"/>
          <w:sz w:val="24"/>
          <w:shd w:val="pct10" w:color="auto" w:fill="FFFFFF"/>
        </w:rPr>
        <w:t>复印件</w:t>
      </w:r>
      <w:r>
        <w:rPr>
          <w:rFonts w:hint="eastAsia" w:ascii="宋体" w:hAnsi="宋体"/>
          <w:b/>
          <w:color w:val="auto"/>
          <w:sz w:val="24"/>
          <w:shd w:val="pct10" w:color="auto" w:fill="FFFFFF"/>
        </w:rPr>
        <w:t>）</w:t>
      </w:r>
      <w:r>
        <w:rPr>
          <w:rFonts w:ascii="宋体" w:hAnsi="宋体"/>
          <w:b/>
          <w:color w:val="auto"/>
          <w:sz w:val="24"/>
          <w:shd w:val="pct10" w:color="auto" w:fill="FFFFFF"/>
        </w:rPr>
        <w:t>；</w:t>
      </w:r>
    </w:p>
    <w:p>
      <w:pPr>
        <w:spacing w:line="360" w:lineRule="auto"/>
        <w:ind w:firstLine="610" w:firstLineChars="253"/>
        <w:rPr>
          <w:rFonts w:ascii="宋体" w:hAnsi="宋体"/>
          <w:b/>
          <w:color w:val="auto"/>
          <w:sz w:val="24"/>
          <w:shd w:val="pct10" w:color="auto" w:fill="FFFFFF"/>
        </w:rPr>
      </w:pPr>
      <w:r>
        <w:rPr>
          <w:rFonts w:hint="eastAsia" w:ascii="宋体" w:hAnsi="宋体"/>
          <w:b/>
          <w:color w:val="auto"/>
          <w:sz w:val="24"/>
          <w:shd w:val="pct10" w:color="auto" w:fill="FFFFFF"/>
        </w:rPr>
        <w:t>（3）供应商代表</w:t>
      </w:r>
      <w:r>
        <w:rPr>
          <w:rFonts w:ascii="宋体" w:hAnsi="宋体"/>
          <w:b/>
          <w:color w:val="auto"/>
          <w:sz w:val="24"/>
          <w:shd w:val="pct10" w:color="auto" w:fill="FFFFFF"/>
        </w:rPr>
        <w:t>身份证</w:t>
      </w:r>
      <w:r>
        <w:rPr>
          <w:rFonts w:hint="eastAsia" w:ascii="宋体" w:hAnsi="宋体"/>
          <w:b/>
          <w:color w:val="auto"/>
          <w:sz w:val="24"/>
          <w:shd w:val="pct10" w:color="auto" w:fill="FFFFFF"/>
        </w:rPr>
        <w:t>（正反面的</w:t>
      </w:r>
      <w:r>
        <w:rPr>
          <w:rFonts w:ascii="宋体" w:hAnsi="宋体"/>
          <w:b/>
          <w:color w:val="auto"/>
          <w:sz w:val="24"/>
          <w:shd w:val="pct10" w:color="auto" w:fill="FFFFFF"/>
        </w:rPr>
        <w:t>复印件</w:t>
      </w:r>
      <w:r>
        <w:rPr>
          <w:rFonts w:hint="eastAsia" w:ascii="宋体" w:hAnsi="宋体"/>
          <w:b/>
          <w:color w:val="auto"/>
          <w:sz w:val="24"/>
          <w:shd w:val="pct10" w:color="auto" w:fill="FFFFFF"/>
        </w:rPr>
        <w:t>）</w:t>
      </w:r>
      <w:r>
        <w:rPr>
          <w:rFonts w:ascii="宋体" w:hAnsi="宋体"/>
          <w:b/>
          <w:color w:val="auto"/>
          <w:sz w:val="24"/>
          <w:shd w:val="pct10" w:color="auto" w:fill="FFFFFF"/>
        </w:rPr>
        <w:t>；</w:t>
      </w:r>
    </w:p>
    <w:p>
      <w:pPr>
        <w:spacing w:line="360" w:lineRule="auto"/>
        <w:ind w:firstLine="610" w:firstLineChars="253"/>
        <w:rPr>
          <w:rFonts w:ascii="宋体" w:hAnsi="宋体"/>
          <w:b/>
          <w:color w:val="auto"/>
          <w:sz w:val="24"/>
          <w:shd w:val="pct10" w:color="auto" w:fill="FFFFFF"/>
        </w:rPr>
      </w:pPr>
      <w:r>
        <w:rPr>
          <w:rFonts w:hint="eastAsia" w:ascii="宋体" w:hAnsi="宋体"/>
          <w:b/>
          <w:color w:val="auto"/>
          <w:sz w:val="24"/>
          <w:shd w:val="pct10" w:color="auto" w:fill="FFFFFF"/>
        </w:rPr>
        <w:t>（4）法定代表人/负责人授权书原件(格式详见第五章“响应文件格式”，供应商代表是法定代表人/负责人无需)；</w:t>
      </w:r>
    </w:p>
    <w:p>
      <w:pPr>
        <w:spacing w:line="360" w:lineRule="auto"/>
        <w:ind w:firstLine="354" w:firstLineChars="147"/>
        <w:rPr>
          <w:rFonts w:ascii="宋体" w:hAnsi="宋体"/>
          <w:b/>
          <w:color w:val="auto"/>
          <w:sz w:val="24"/>
          <w:shd w:val="pct10" w:color="auto" w:fill="FFFFFF"/>
        </w:rPr>
      </w:pPr>
      <w:r>
        <w:rPr>
          <w:rFonts w:hint="eastAsia" w:ascii="宋体" w:hAnsi="宋体"/>
          <w:b/>
          <w:color w:val="auto"/>
          <w:sz w:val="24"/>
          <w:shd w:val="pct10" w:color="auto" w:fill="FFFFFF"/>
        </w:rPr>
        <w:t>3.2投标人对近三年（2020年1月1日至2022年12月31日）无行贿犯罪记录进行声明(格式自拟)，原件须附在技术商务部分正本中，副本附复印件；</w:t>
      </w:r>
    </w:p>
    <w:p>
      <w:pPr>
        <w:spacing w:line="360" w:lineRule="auto"/>
        <w:ind w:firstLine="472" w:firstLineChars="196"/>
        <w:rPr>
          <w:rFonts w:ascii="宋体" w:hAnsi="宋体"/>
          <w:b/>
          <w:color w:val="auto"/>
          <w:sz w:val="24"/>
          <w:shd w:val="pct10" w:color="auto" w:fill="FFFFFF"/>
        </w:rPr>
      </w:pPr>
      <w:r>
        <w:rPr>
          <w:rFonts w:hint="eastAsia" w:ascii="宋体" w:hAnsi="宋体"/>
          <w:b/>
          <w:color w:val="auto"/>
          <w:sz w:val="24"/>
          <w:shd w:val="pct10" w:color="auto" w:fill="FFFFFF"/>
        </w:rPr>
        <w:t>3.3投标人需提供财务状况报告，依法缴纳税收和社会保障资金的相关材料：</w:t>
      </w:r>
    </w:p>
    <w:p>
      <w:pPr>
        <w:spacing w:line="360" w:lineRule="auto"/>
        <w:ind w:firstLine="472" w:firstLineChars="196"/>
        <w:rPr>
          <w:rFonts w:ascii="宋体" w:hAnsi="宋体" w:cs="宋体"/>
          <w:b/>
          <w:color w:val="auto"/>
          <w:sz w:val="24"/>
          <w:shd w:val="pct10" w:color="auto" w:fill="FFFFFF"/>
        </w:rPr>
      </w:pPr>
      <w:r>
        <w:rPr>
          <w:rFonts w:hint="eastAsia" w:ascii="宋体" w:hAnsi="宋体" w:cs="宋体"/>
          <w:b/>
          <w:color w:val="auto"/>
          <w:sz w:val="24"/>
          <w:shd w:val="pct10" w:color="auto" w:fill="FFFFFF"/>
        </w:rPr>
        <w:t>①财务状况报告：</w:t>
      </w:r>
      <w:r>
        <w:rPr>
          <w:rFonts w:hint="eastAsia" w:ascii="宋体" w:hAnsi="宋体" w:cs="宋体"/>
          <w:b/>
          <w:bCs/>
          <w:color w:val="auto"/>
          <w:sz w:val="24"/>
          <w:shd w:val="pct10" w:color="auto" w:fill="FFFFFF"/>
        </w:rPr>
        <w:t>2021年度或2022年度的资产负债表、利润表、现金流量表或其基本开户银行出具的资信证明；</w:t>
      </w:r>
    </w:p>
    <w:p>
      <w:pPr>
        <w:spacing w:line="360" w:lineRule="auto"/>
        <w:ind w:firstLine="472" w:firstLineChars="196"/>
        <w:rPr>
          <w:rFonts w:ascii="宋体" w:hAnsi="宋体" w:cs="宋体"/>
          <w:b/>
          <w:color w:val="auto"/>
          <w:sz w:val="24"/>
          <w:shd w:val="pct10" w:color="auto" w:fill="FFFFFF"/>
        </w:rPr>
      </w:pPr>
      <w:r>
        <w:rPr>
          <w:rFonts w:hint="eastAsia" w:ascii="宋体" w:hAnsi="宋体" w:cs="宋体"/>
          <w:b/>
          <w:color w:val="auto"/>
          <w:sz w:val="24"/>
          <w:shd w:val="pct10" w:color="auto" w:fill="FFFFFF"/>
        </w:rPr>
        <w:t>②依法缴纳税收: 提供投标截止时间前六个月（不含投标截止时间的当月）中已依法缴纳税收的供应商任意一个月的缴纳税收的证明材料或者提供依法免税的相应证明文件或者提供无欠税的相应证明文件；</w:t>
      </w:r>
    </w:p>
    <w:p>
      <w:pPr>
        <w:pStyle w:val="195"/>
        <w:ind w:firstLine="472" w:firstLineChars="196"/>
        <w:rPr>
          <w:rFonts w:ascii="宋体" w:hAnsi="宋体"/>
          <w:b/>
          <w:color w:val="auto"/>
          <w:sz w:val="24"/>
          <w:shd w:val="pct10" w:color="auto" w:fill="FFFFFF"/>
        </w:rPr>
      </w:pPr>
      <w:r>
        <w:rPr>
          <w:rFonts w:hint="eastAsia" w:ascii="宋体" w:hAnsi="宋体"/>
          <w:b/>
          <w:color w:val="auto"/>
          <w:sz w:val="24"/>
          <w:shd w:val="pct10" w:color="auto" w:fill="FFFFFF"/>
        </w:rPr>
        <w:t>③社会保障资金的相关材料: 提供投标截止时间前六个月（不含投标截止时间的当月）中已依法缴纳税收的投标人任意一个月的缴交社会保障资金证明材料；</w:t>
      </w:r>
    </w:p>
    <w:p>
      <w:pPr>
        <w:pStyle w:val="195"/>
        <w:ind w:firstLine="482"/>
        <w:rPr>
          <w:rFonts w:ascii="宋体" w:hAnsi="宋体" w:cs="Times New Roman"/>
          <w:b/>
          <w:color w:val="auto"/>
          <w:sz w:val="24"/>
          <w:shd w:val="pct10" w:color="auto" w:fill="FFFFFF"/>
        </w:rPr>
      </w:pPr>
      <w:r>
        <w:rPr>
          <w:rFonts w:hint="eastAsia" w:ascii="宋体" w:hAnsi="宋体"/>
          <w:b/>
          <w:color w:val="auto"/>
          <w:sz w:val="24"/>
          <w:shd w:val="pct10" w:color="auto" w:fill="FFFFFF"/>
        </w:rPr>
        <w:t>3.4</w:t>
      </w:r>
      <w:r>
        <w:rPr>
          <w:rFonts w:hint="eastAsia" w:ascii="宋体" w:hAnsi="宋体" w:cs="Times New Roman"/>
          <w:b/>
          <w:color w:val="auto"/>
          <w:sz w:val="24"/>
          <w:shd w:val="pct10" w:color="auto" w:fill="FFFFFF"/>
        </w:rPr>
        <w:t>投标人</w:t>
      </w:r>
      <w:r>
        <w:rPr>
          <w:rFonts w:hint="eastAsia" w:ascii="宋体" w:hAnsi="宋体"/>
          <w:b/>
          <w:color w:val="auto"/>
          <w:sz w:val="24"/>
          <w:shd w:val="pct10" w:color="auto" w:fill="FFFFFF"/>
        </w:rPr>
        <w:t>需提供具备履行合同所必需设备和专业技术能力</w:t>
      </w:r>
      <w:r>
        <w:rPr>
          <w:rFonts w:hint="eastAsia" w:ascii="宋体" w:hAnsi="宋体" w:cs="Times New Roman"/>
          <w:b/>
          <w:color w:val="auto"/>
          <w:sz w:val="24"/>
          <w:shd w:val="pct10" w:color="auto" w:fill="FFFFFF"/>
        </w:rPr>
        <w:t>的证明材料:</w:t>
      </w:r>
    </w:p>
    <w:p>
      <w:pPr>
        <w:pStyle w:val="195"/>
        <w:ind w:firstLine="482"/>
        <w:rPr>
          <w:rFonts w:ascii="宋体" w:hAnsi="宋体" w:cs="Times New Roman"/>
          <w:b/>
          <w:color w:val="auto"/>
          <w:sz w:val="24"/>
          <w:shd w:val="pct10" w:color="auto" w:fill="FFFFFF"/>
        </w:rPr>
      </w:pPr>
      <w:r>
        <w:rPr>
          <w:rFonts w:hint="eastAsia" w:ascii="宋体" w:hAnsi="宋体" w:cs="Times New Roman"/>
          <w:b/>
          <w:color w:val="auto"/>
          <w:sz w:val="24"/>
          <w:shd w:val="pct10" w:color="auto" w:fill="FFFFFF"/>
        </w:rPr>
        <w:t>①具备履行合同所必需的设备：供应商提供办公场所的场地证明材料（属于自有产权的提供产权证复印件；非自有产权的提供场地租赁合同复印件，租赁期限不少于一年）；</w:t>
      </w:r>
    </w:p>
    <w:p>
      <w:pPr>
        <w:spacing w:line="360" w:lineRule="auto"/>
        <w:ind w:firstLine="472" w:firstLineChars="196"/>
        <w:jc w:val="left"/>
        <w:rPr>
          <w:rFonts w:ascii="宋体" w:hAnsi="宋体"/>
          <w:b/>
          <w:color w:val="auto"/>
          <w:sz w:val="24"/>
          <w:shd w:val="pct10" w:color="auto" w:fill="FFFFFF"/>
        </w:rPr>
      </w:pPr>
      <w:r>
        <w:rPr>
          <w:rFonts w:hint="eastAsia" w:ascii="宋体" w:hAnsi="宋体"/>
          <w:b/>
          <w:color w:val="auto"/>
          <w:sz w:val="24"/>
          <w:shd w:val="pct10" w:color="auto" w:fill="FFFFFF"/>
        </w:rPr>
        <w:t>②具备专业技术能力：提供负责本项目的主要人员的名单、联系电话及人员相关证书；</w:t>
      </w:r>
    </w:p>
    <w:p>
      <w:pPr>
        <w:spacing w:line="360" w:lineRule="auto"/>
        <w:ind w:firstLine="482" w:firstLineChars="200"/>
        <w:jc w:val="left"/>
        <w:rPr>
          <w:rFonts w:ascii="宋体" w:hAnsi="宋体"/>
          <w:b/>
          <w:color w:val="auto"/>
          <w:sz w:val="24"/>
          <w:szCs w:val="24"/>
          <w:shd w:val="pct10" w:color="auto" w:fill="FFFFFF"/>
        </w:rPr>
      </w:pPr>
      <w:r>
        <w:rPr>
          <w:rFonts w:hint="eastAsia" w:ascii="宋体" w:hAnsi="宋体"/>
          <w:b/>
          <w:color w:val="auto"/>
          <w:sz w:val="24"/>
          <w:shd w:val="pct10" w:color="auto" w:fill="FFFFFF"/>
        </w:rPr>
        <w:t>3.5</w:t>
      </w:r>
      <w:r>
        <w:rPr>
          <w:rFonts w:hint="eastAsia" w:ascii="宋体" w:hAnsi="宋体"/>
          <w:b/>
          <w:color w:val="auto"/>
          <w:sz w:val="24"/>
          <w:szCs w:val="24"/>
          <w:shd w:val="pct10" w:color="auto" w:fill="FFFFFF"/>
        </w:rPr>
        <w:t>投标人需提供参加政府采购活动前3年内</w:t>
      </w:r>
      <w:r>
        <w:rPr>
          <w:rFonts w:hint="eastAsia" w:ascii="宋体" w:hAnsi="宋体"/>
          <w:b/>
          <w:color w:val="auto"/>
          <w:sz w:val="24"/>
          <w:shd w:val="pct10" w:color="auto" w:fill="FFFFFF"/>
        </w:rPr>
        <w:t>（2020年1月1日至2022年12月31日）</w:t>
      </w:r>
      <w:r>
        <w:rPr>
          <w:rFonts w:hint="eastAsia" w:ascii="宋体" w:hAnsi="宋体"/>
          <w:b/>
          <w:color w:val="auto"/>
          <w:sz w:val="24"/>
          <w:szCs w:val="24"/>
          <w:shd w:val="pct10" w:color="auto" w:fill="FFFFFF"/>
        </w:rPr>
        <w:t>在经营活动中没有重大违法记录的书面声明（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和由资格审查小组通过“信用中国”网站（www.creditchina.gov.cn）、中国政府采购网（www.cc gp.gov.cn）查询并打印投标人信用记录（以下简称：“资格审查小组的查询结果”）。若查询结果存在投标人应被拒绝参与政府采购活动相关信息的，其资格审查不合格。因上述网站原因导致谈判小组无法查询投标人信用记录的（资格审查小组应将通过上述网站查询投标人信用记录时的原始页面打印后随采购文件一并存档），视为查询结果未存在投标人应被拒绝参与政府采购活动相关的信息。</w:t>
      </w:r>
    </w:p>
    <w:p>
      <w:pPr>
        <w:spacing w:line="360" w:lineRule="auto"/>
        <w:ind w:firstLine="482" w:firstLineChars="200"/>
        <w:rPr>
          <w:color w:val="auto"/>
        </w:rPr>
      </w:pPr>
      <w:r>
        <w:rPr>
          <w:rFonts w:hint="eastAsia" w:ascii="宋体" w:hAnsi="宋体"/>
          <w:b/>
          <w:color w:val="auto"/>
          <w:sz w:val="24"/>
          <w:shd w:val="pct10" w:color="auto" w:fill="FFFFFF"/>
        </w:rPr>
        <w:t>3.6</w:t>
      </w:r>
      <w:r>
        <w:rPr>
          <w:rFonts w:hint="eastAsia" w:ascii="宋体" w:hAnsi="宋体"/>
          <w:b/>
          <w:color w:val="auto"/>
          <w:sz w:val="24"/>
          <w:szCs w:val="24"/>
          <w:shd w:val="pct10" w:color="auto" w:fill="FFFFFF"/>
        </w:rPr>
        <w:t>投标人</w:t>
      </w:r>
      <w:r>
        <w:rPr>
          <w:rFonts w:hint="eastAsia" w:ascii="宋体" w:hAnsi="宋体"/>
          <w:b/>
          <w:color w:val="auto"/>
          <w:sz w:val="24"/>
          <w:shd w:val="pct10" w:color="auto" w:fill="FFFFFF"/>
        </w:rPr>
        <w:t>具有《经营保险业务许可证》，其业务范围必须包括经中国保监会核定的经营车辆保险业务，须提供《经营保险业务许可证》复印件；</w:t>
      </w:r>
    </w:p>
    <w:p>
      <w:pPr>
        <w:spacing w:line="360" w:lineRule="auto"/>
        <w:ind w:firstLine="482" w:firstLineChars="200"/>
        <w:rPr>
          <w:color w:val="auto"/>
        </w:rPr>
      </w:pPr>
      <w:r>
        <w:rPr>
          <w:rFonts w:hint="eastAsia" w:ascii="宋体" w:hAnsi="宋体"/>
          <w:b/>
          <w:color w:val="auto"/>
          <w:sz w:val="24"/>
          <w:szCs w:val="24"/>
          <w:shd w:val="pct10" w:color="auto" w:fill="FFFFFF"/>
        </w:rPr>
        <w:t>3.7、本项目不接受联合体投标。</w:t>
      </w:r>
    </w:p>
    <w:p>
      <w:pPr>
        <w:spacing w:line="440" w:lineRule="exact"/>
        <w:ind w:firstLine="480" w:firstLineChars="200"/>
        <w:rPr>
          <w:rFonts w:ascii="宋体" w:hAnsi="宋体"/>
          <w:color w:val="auto"/>
          <w:sz w:val="24"/>
        </w:rPr>
      </w:pPr>
      <w:r>
        <w:rPr>
          <w:rFonts w:ascii="宋体" w:hAnsi="宋体"/>
          <w:color w:val="auto"/>
          <w:sz w:val="24"/>
        </w:rPr>
        <w:t>3.</w:t>
      </w:r>
      <w:r>
        <w:rPr>
          <w:rFonts w:hint="eastAsia" w:ascii="宋体" w:hAnsi="宋体"/>
          <w:color w:val="auto"/>
          <w:sz w:val="24"/>
        </w:rPr>
        <w:t>8 投标人应遵守中国的有关法律、法规和规章的规定。</w:t>
      </w:r>
    </w:p>
    <w:p>
      <w:pPr>
        <w:spacing w:line="440" w:lineRule="exact"/>
        <w:ind w:firstLine="600" w:firstLineChars="250"/>
        <w:rPr>
          <w:rFonts w:ascii="宋体" w:hAnsi="宋体"/>
          <w:color w:val="auto"/>
          <w:sz w:val="24"/>
        </w:rPr>
      </w:pPr>
      <w:r>
        <w:rPr>
          <w:rFonts w:hint="eastAsia" w:ascii="宋体" w:hAnsi="宋体"/>
          <w:color w:val="auto"/>
          <w:sz w:val="24"/>
        </w:rPr>
        <w:t>3.9一个投标人只能提交一个投标文件。但如果投标人之间存在下列互为关联关系的情形之一的，不得同时参加本项目投标：</w:t>
      </w:r>
    </w:p>
    <w:p>
      <w:pPr>
        <w:spacing w:line="440" w:lineRule="exact"/>
        <w:ind w:firstLine="480" w:firstLineChars="200"/>
        <w:rPr>
          <w:rFonts w:ascii="宋体" w:hAnsi="宋体"/>
          <w:color w:val="auto"/>
          <w:sz w:val="24"/>
          <w:szCs w:val="24"/>
        </w:rPr>
      </w:pPr>
      <w:r>
        <w:rPr>
          <w:rFonts w:hint="eastAsia" w:ascii="宋体" w:hAnsi="宋体"/>
          <w:color w:val="auto"/>
          <w:sz w:val="24"/>
          <w:szCs w:val="24"/>
        </w:rPr>
        <w:t>(1) 法定代表人为同一人的两个及两个以上法人；</w:t>
      </w:r>
    </w:p>
    <w:p>
      <w:pPr>
        <w:spacing w:line="440" w:lineRule="exact"/>
        <w:ind w:firstLine="480" w:firstLineChars="200"/>
        <w:rPr>
          <w:rFonts w:ascii="宋体" w:hAnsi="宋体"/>
          <w:color w:val="auto"/>
          <w:sz w:val="24"/>
          <w:szCs w:val="24"/>
        </w:rPr>
      </w:pPr>
      <w:r>
        <w:rPr>
          <w:rFonts w:hint="eastAsia" w:ascii="宋体" w:hAnsi="宋体"/>
          <w:color w:val="auto"/>
          <w:sz w:val="24"/>
          <w:szCs w:val="24"/>
        </w:rPr>
        <w:t>(2) 母公司、直接或间接持股50％及以上的被投资公司；</w:t>
      </w:r>
    </w:p>
    <w:p>
      <w:pPr>
        <w:spacing w:line="440" w:lineRule="exact"/>
        <w:ind w:firstLine="480" w:firstLineChars="200"/>
        <w:rPr>
          <w:rFonts w:ascii="宋体" w:hAnsi="宋体"/>
          <w:color w:val="auto"/>
          <w:sz w:val="24"/>
        </w:rPr>
      </w:pPr>
      <w:r>
        <w:rPr>
          <w:rFonts w:hint="eastAsia" w:ascii="宋体" w:hAnsi="宋体"/>
          <w:color w:val="auto"/>
          <w:sz w:val="24"/>
          <w:szCs w:val="24"/>
        </w:rPr>
        <w:t>(3) 均为同一家母公司直接或间接持股50％及以上的被投资公司。</w:t>
      </w:r>
    </w:p>
    <w:p>
      <w:pPr>
        <w:spacing w:line="440" w:lineRule="exact"/>
        <w:ind w:firstLine="480" w:firstLineChars="200"/>
        <w:rPr>
          <w:rFonts w:ascii="宋体" w:hAnsi="宋体"/>
          <w:color w:val="auto"/>
          <w:sz w:val="24"/>
        </w:rPr>
      </w:pPr>
      <w:r>
        <w:rPr>
          <w:rFonts w:hint="eastAsia" w:ascii="宋体" w:hAnsi="宋体"/>
          <w:color w:val="auto"/>
          <w:sz w:val="24"/>
        </w:rPr>
        <w:t>3.10投标人不得与本次招标项下设计、编制技术规格和其它文件的公司或提供咨询服务的公司包括其附属机构有任何关联。</w:t>
      </w:r>
    </w:p>
    <w:p>
      <w:pPr>
        <w:spacing w:line="440" w:lineRule="exact"/>
        <w:ind w:firstLine="480" w:firstLineChars="200"/>
        <w:rPr>
          <w:rFonts w:ascii="宋体" w:hAnsi="宋体"/>
          <w:color w:val="auto"/>
          <w:sz w:val="24"/>
        </w:rPr>
      </w:pPr>
      <w:r>
        <w:rPr>
          <w:rFonts w:hint="eastAsia" w:ascii="宋体" w:hAnsi="宋体"/>
          <w:color w:val="auto"/>
          <w:sz w:val="24"/>
        </w:rPr>
        <w:t>3.11投标代理人在同一个项目中只能接受一个投标人的委托参加投标。</w:t>
      </w:r>
    </w:p>
    <w:p>
      <w:pPr>
        <w:spacing w:line="440" w:lineRule="exact"/>
        <w:ind w:firstLine="352" w:firstLineChars="146"/>
        <w:rPr>
          <w:rFonts w:ascii="宋体" w:hAnsi="宋体"/>
          <w:b/>
          <w:color w:val="auto"/>
          <w:sz w:val="24"/>
        </w:rPr>
      </w:pPr>
      <w:r>
        <w:rPr>
          <w:rFonts w:hint="eastAsia" w:ascii="宋体" w:hAnsi="宋体"/>
          <w:b/>
          <w:color w:val="auto"/>
          <w:sz w:val="24"/>
        </w:rPr>
        <w:t>注：以上相关资质证明文件应属法定有效期内的，若发生变更的，应按有关规定办理完变更手续后方可参加投标，并以发证机关核准的变更为准，否则按无效投标处理。其复印件应是清晰的并加盖投标人公章。</w:t>
      </w:r>
    </w:p>
    <w:p>
      <w:pPr>
        <w:spacing w:line="440" w:lineRule="exact"/>
        <w:rPr>
          <w:rFonts w:ascii="宋体" w:hAnsi="宋体"/>
          <w:color w:val="auto"/>
          <w:sz w:val="24"/>
        </w:rPr>
      </w:pPr>
      <w:r>
        <w:rPr>
          <w:rFonts w:hint="eastAsia" w:ascii="宋体" w:hAnsi="宋体"/>
          <w:color w:val="auto"/>
          <w:sz w:val="24"/>
        </w:rPr>
        <w:t>4. 投标费用</w:t>
      </w:r>
    </w:p>
    <w:p>
      <w:pPr>
        <w:spacing w:line="440" w:lineRule="exact"/>
        <w:ind w:firstLine="480"/>
        <w:rPr>
          <w:rFonts w:ascii="宋体" w:hAnsi="宋体"/>
          <w:color w:val="auto"/>
          <w:sz w:val="24"/>
        </w:rPr>
      </w:pPr>
      <w:r>
        <w:rPr>
          <w:rFonts w:hint="eastAsia" w:ascii="宋体" w:hAnsi="宋体"/>
          <w:color w:val="auto"/>
          <w:sz w:val="24"/>
        </w:rPr>
        <w:t>4.1 投标人自行承担其参加投标所涉及的一切费用。</w:t>
      </w:r>
    </w:p>
    <w:p>
      <w:pPr>
        <w:spacing w:line="440" w:lineRule="exact"/>
        <w:jc w:val="center"/>
        <w:outlineLvl w:val="1"/>
        <w:rPr>
          <w:rFonts w:ascii="宋体" w:hAnsi="宋体"/>
          <w:color w:val="auto"/>
          <w:sz w:val="24"/>
        </w:rPr>
      </w:pPr>
      <w:bookmarkStart w:id="12" w:name="_Toc277779952"/>
      <w:bookmarkStart w:id="13" w:name="_Toc352224150"/>
      <w:r>
        <w:rPr>
          <w:rFonts w:hint="eastAsia" w:ascii="宋体" w:hAnsi="宋体"/>
          <w:color w:val="auto"/>
          <w:sz w:val="24"/>
        </w:rPr>
        <w:t>二、  招标文件</w:t>
      </w:r>
      <w:bookmarkEnd w:id="12"/>
      <w:bookmarkEnd w:id="13"/>
    </w:p>
    <w:p>
      <w:pPr>
        <w:spacing w:line="440" w:lineRule="exact"/>
        <w:rPr>
          <w:rFonts w:ascii="宋体" w:hAnsi="宋体"/>
          <w:color w:val="auto"/>
          <w:sz w:val="24"/>
        </w:rPr>
      </w:pPr>
      <w:r>
        <w:rPr>
          <w:rFonts w:hint="eastAsia" w:ascii="宋体" w:hAnsi="宋体"/>
          <w:color w:val="auto"/>
          <w:sz w:val="24"/>
        </w:rPr>
        <w:t>5. 招标文件的组成</w:t>
      </w:r>
    </w:p>
    <w:p>
      <w:pPr>
        <w:spacing w:line="440" w:lineRule="exact"/>
        <w:ind w:firstLine="480"/>
        <w:rPr>
          <w:rFonts w:ascii="宋体" w:hAnsi="宋体"/>
          <w:color w:val="auto"/>
          <w:sz w:val="24"/>
        </w:rPr>
      </w:pPr>
      <w:r>
        <w:rPr>
          <w:rFonts w:hint="eastAsia" w:ascii="宋体" w:hAnsi="宋体"/>
          <w:color w:val="auto"/>
          <w:sz w:val="24"/>
        </w:rPr>
        <w:t>5.1招标文件用以阐明所需货物及服务招标程序和合同主要条款。招标文件由下述部分组成：</w:t>
      </w:r>
    </w:p>
    <w:p>
      <w:pPr>
        <w:pStyle w:val="9"/>
        <w:snapToGrid w:val="0"/>
        <w:spacing w:line="440" w:lineRule="exact"/>
        <w:ind w:firstLine="480" w:firstLineChars="200"/>
        <w:rPr>
          <w:rFonts w:ascii="宋体" w:hAnsi="宋体"/>
          <w:color w:val="auto"/>
          <w:sz w:val="24"/>
        </w:rPr>
      </w:pPr>
      <w:r>
        <w:rPr>
          <w:rFonts w:hint="eastAsia" w:ascii="宋体" w:hAnsi="宋体"/>
          <w:color w:val="auto"/>
          <w:sz w:val="24"/>
        </w:rPr>
        <w:t>⑴ 投标邀请</w:t>
      </w:r>
    </w:p>
    <w:p>
      <w:pPr>
        <w:pStyle w:val="9"/>
        <w:snapToGrid w:val="0"/>
        <w:spacing w:line="440" w:lineRule="exact"/>
        <w:ind w:firstLine="480" w:firstLineChars="200"/>
        <w:rPr>
          <w:rFonts w:ascii="宋体" w:hAnsi="宋体"/>
          <w:color w:val="auto"/>
          <w:sz w:val="24"/>
        </w:rPr>
      </w:pPr>
      <w:r>
        <w:rPr>
          <w:rFonts w:hint="eastAsia" w:ascii="宋体" w:hAnsi="宋体"/>
          <w:color w:val="auto"/>
          <w:sz w:val="24"/>
        </w:rPr>
        <w:t xml:space="preserve">⑵ 投标人须知 </w:t>
      </w:r>
    </w:p>
    <w:p>
      <w:pPr>
        <w:pStyle w:val="9"/>
        <w:snapToGrid w:val="0"/>
        <w:spacing w:line="440" w:lineRule="exact"/>
        <w:ind w:firstLine="480" w:firstLineChars="200"/>
        <w:rPr>
          <w:rFonts w:ascii="宋体" w:hAnsi="宋体"/>
          <w:color w:val="auto"/>
          <w:sz w:val="24"/>
        </w:rPr>
      </w:pPr>
      <w:r>
        <w:rPr>
          <w:rFonts w:hint="eastAsia" w:ascii="宋体" w:hAnsi="宋体"/>
          <w:color w:val="auto"/>
          <w:sz w:val="24"/>
        </w:rPr>
        <w:t>⑶ 招标内容及要求</w:t>
      </w:r>
    </w:p>
    <w:p>
      <w:pPr>
        <w:pStyle w:val="9"/>
        <w:snapToGrid w:val="0"/>
        <w:spacing w:line="440" w:lineRule="exact"/>
        <w:ind w:firstLine="480" w:firstLineChars="200"/>
        <w:rPr>
          <w:rFonts w:ascii="宋体" w:hAnsi="宋体"/>
          <w:color w:val="auto"/>
          <w:sz w:val="24"/>
        </w:rPr>
      </w:pPr>
      <w:r>
        <w:rPr>
          <w:rFonts w:hint="eastAsia" w:ascii="宋体" w:hAnsi="宋体"/>
          <w:color w:val="auto"/>
          <w:sz w:val="24"/>
        </w:rPr>
        <w:t>⑷ 合同主要条款</w:t>
      </w:r>
    </w:p>
    <w:p>
      <w:pPr>
        <w:pStyle w:val="9"/>
        <w:snapToGrid w:val="0"/>
        <w:spacing w:line="440" w:lineRule="exact"/>
        <w:ind w:firstLine="480" w:firstLineChars="200"/>
        <w:rPr>
          <w:rFonts w:ascii="宋体" w:hAnsi="宋体"/>
          <w:color w:val="auto"/>
          <w:sz w:val="24"/>
        </w:rPr>
      </w:pPr>
      <w:r>
        <w:rPr>
          <w:rFonts w:hint="eastAsia" w:ascii="宋体" w:hAnsi="宋体"/>
          <w:color w:val="auto"/>
          <w:sz w:val="24"/>
        </w:rPr>
        <w:t>⑸ 投标文件格式</w:t>
      </w:r>
    </w:p>
    <w:p>
      <w:pPr>
        <w:spacing w:line="440" w:lineRule="exact"/>
        <w:rPr>
          <w:rFonts w:ascii="宋体" w:hAnsi="宋体"/>
          <w:color w:val="auto"/>
          <w:sz w:val="24"/>
        </w:rPr>
      </w:pPr>
      <w:bookmarkStart w:id="14" w:name="_Toc430488644"/>
      <w:bookmarkStart w:id="15" w:name="_Toc430489119"/>
      <w:bookmarkStart w:id="16" w:name="_Toc430492126"/>
      <w:bookmarkStart w:id="17" w:name="_Toc430490612"/>
      <w:bookmarkStart w:id="18" w:name="_Toc415567497"/>
      <w:bookmarkStart w:id="19" w:name="_Toc430422413"/>
      <w:bookmarkStart w:id="20" w:name="_Toc430488851"/>
      <w:r>
        <w:rPr>
          <w:rFonts w:hint="eastAsia" w:ascii="宋体" w:hAnsi="宋体"/>
          <w:color w:val="auto"/>
          <w:sz w:val="24"/>
        </w:rPr>
        <w:t>6.</w:t>
      </w:r>
      <w:bookmarkEnd w:id="14"/>
      <w:bookmarkEnd w:id="15"/>
      <w:bookmarkEnd w:id="16"/>
      <w:bookmarkEnd w:id="17"/>
      <w:bookmarkEnd w:id="18"/>
      <w:bookmarkEnd w:id="19"/>
      <w:bookmarkEnd w:id="20"/>
      <w:r>
        <w:rPr>
          <w:rFonts w:hint="eastAsia" w:ascii="宋体" w:hAnsi="宋体"/>
          <w:color w:val="auto"/>
          <w:sz w:val="24"/>
        </w:rPr>
        <w:t xml:space="preserve"> 招标文件的澄清</w:t>
      </w:r>
    </w:p>
    <w:p>
      <w:pPr>
        <w:pStyle w:val="9"/>
        <w:snapToGrid w:val="0"/>
        <w:spacing w:line="440" w:lineRule="exact"/>
        <w:rPr>
          <w:rFonts w:ascii="宋体" w:hAnsi="宋体"/>
          <w:color w:val="auto"/>
          <w:sz w:val="24"/>
        </w:rPr>
      </w:pPr>
      <w:r>
        <w:rPr>
          <w:rFonts w:hint="eastAsia" w:ascii="宋体" w:hAnsi="宋体"/>
          <w:color w:val="auto"/>
          <w:sz w:val="24"/>
        </w:rPr>
        <w:t>6.1投标人对招标文件如有疑点，可要求澄清。要求澄清应按投标邀请中载明的地址以书面形式（包括信函、电报或传真，下同）通知招标代理机构。招标代理机构将视情况在投标截止时间15日前将不标明查询来源的书面答复发给所有投标人，并在采购信息发布的媒体上发布更正公告，投标人在收到该答复后应在投标截止时间5日之前以电报或传真的形式予以确认，否则，视同默认答复内容。该澄清内容为招标文件的组成部分。</w:t>
      </w:r>
      <w:bookmarkStart w:id="21" w:name="_Toc415567498"/>
      <w:bookmarkStart w:id="22" w:name="_Toc430422414"/>
      <w:bookmarkStart w:id="23" w:name="_Toc430490613"/>
      <w:bookmarkStart w:id="24" w:name="_Toc430488852"/>
      <w:bookmarkStart w:id="25" w:name="_Toc430492127"/>
      <w:bookmarkStart w:id="26" w:name="_Toc430489120"/>
      <w:bookmarkStart w:id="27" w:name="_Toc430488645"/>
    </w:p>
    <w:p>
      <w:pPr>
        <w:pStyle w:val="9"/>
        <w:snapToGrid w:val="0"/>
        <w:spacing w:line="440" w:lineRule="exact"/>
        <w:rPr>
          <w:rFonts w:ascii="宋体" w:hAnsi="宋体"/>
          <w:color w:val="auto"/>
          <w:sz w:val="24"/>
        </w:rPr>
      </w:pPr>
      <w:r>
        <w:rPr>
          <w:rFonts w:hint="eastAsia" w:ascii="宋体" w:hAnsi="宋体"/>
          <w:color w:val="auto"/>
          <w:sz w:val="24"/>
        </w:rPr>
        <w:t>6.2 投标人在规定时间内未提出疑义的,视为认同本招标文件中所有条款，今后将无权提出任何疑义。</w:t>
      </w:r>
    </w:p>
    <w:p>
      <w:pPr>
        <w:pStyle w:val="9"/>
        <w:snapToGrid w:val="0"/>
        <w:spacing w:line="440" w:lineRule="exact"/>
        <w:ind w:firstLine="0"/>
        <w:rPr>
          <w:rFonts w:ascii="宋体" w:hAnsi="宋体"/>
          <w:color w:val="auto"/>
          <w:sz w:val="24"/>
        </w:rPr>
      </w:pPr>
      <w:r>
        <w:rPr>
          <w:rFonts w:hint="eastAsia" w:ascii="宋体" w:hAnsi="宋体"/>
          <w:color w:val="auto"/>
          <w:sz w:val="24"/>
        </w:rPr>
        <w:t>7.招标文件的修改</w:t>
      </w:r>
      <w:bookmarkEnd w:id="21"/>
      <w:bookmarkEnd w:id="22"/>
      <w:bookmarkEnd w:id="23"/>
      <w:bookmarkEnd w:id="24"/>
      <w:bookmarkEnd w:id="25"/>
      <w:bookmarkEnd w:id="26"/>
      <w:bookmarkEnd w:id="27"/>
    </w:p>
    <w:p>
      <w:pPr>
        <w:pStyle w:val="9"/>
        <w:snapToGrid w:val="0"/>
        <w:spacing w:line="440" w:lineRule="exact"/>
        <w:rPr>
          <w:rFonts w:ascii="宋体" w:hAnsi="宋体"/>
          <w:color w:val="auto"/>
          <w:sz w:val="24"/>
        </w:rPr>
      </w:pPr>
      <w:r>
        <w:rPr>
          <w:rFonts w:hint="eastAsia" w:ascii="宋体" w:hAnsi="宋体"/>
          <w:color w:val="auto"/>
          <w:sz w:val="24"/>
        </w:rPr>
        <w:t>7.1至投标截止日期前15日，招标代理机构可主动或依投标人要求澄清的问题而修改招标文件，应在原信息发布的媒体上发布更正公告，并以书面形式通知所有投标人，投标人在收到该通知后应立即以电报或传真的形式予以确认。该修改内容为招标文件的组成部分，对投标人具有约束力。但本招标文件第7.2条规定的推迟投标截止时间和开标时间情形不受本条约束。</w:t>
      </w:r>
    </w:p>
    <w:p>
      <w:pPr>
        <w:spacing w:line="440" w:lineRule="exact"/>
        <w:ind w:firstLine="420"/>
        <w:rPr>
          <w:rFonts w:ascii="宋体" w:hAnsi="宋体" w:cs="宋体"/>
          <w:color w:val="auto"/>
          <w:kern w:val="1"/>
          <w:szCs w:val="21"/>
        </w:rPr>
      </w:pPr>
      <w:r>
        <w:rPr>
          <w:rFonts w:hint="eastAsia" w:ascii="宋体" w:hAnsi="宋体"/>
          <w:color w:val="auto"/>
          <w:sz w:val="24"/>
        </w:rPr>
        <w:t>7.2 为使投标人在准备投标文件时有合理的时间考虑招标文件的修改，招标代理机构可酌情推迟投标截止时间和开标时间，但应当至少在投标截止时间</w:t>
      </w:r>
      <w:r>
        <w:rPr>
          <w:rFonts w:hint="eastAsia" w:ascii="宋体" w:hAnsi="宋体"/>
          <w:b/>
          <w:color w:val="auto"/>
          <w:sz w:val="24"/>
        </w:rPr>
        <w:t>三个</w:t>
      </w:r>
      <w:r>
        <w:rPr>
          <w:rFonts w:hint="eastAsia" w:ascii="宋体" w:hAnsi="宋体"/>
          <w:color w:val="auto"/>
          <w:sz w:val="24"/>
        </w:rPr>
        <w:t>日历日前将变更时间以书面形式通知所有投标人，并在采购信息发布的媒体上发布更正公告。该修改内容为招标文件的组成部分。在此情况下，招标人和投标人受投标截止期制约的所有权利和义务均应延长至新的截止日期。</w:t>
      </w:r>
    </w:p>
    <w:p>
      <w:pPr>
        <w:spacing w:line="360" w:lineRule="auto"/>
        <w:ind w:firstLine="420" w:firstLineChars="200"/>
        <w:rPr>
          <w:rFonts w:ascii="宋体" w:hAnsi="宋体"/>
          <w:color w:val="auto"/>
        </w:rPr>
      </w:pPr>
    </w:p>
    <w:p>
      <w:pPr>
        <w:spacing w:line="360" w:lineRule="auto"/>
        <w:jc w:val="center"/>
        <w:outlineLvl w:val="1"/>
        <w:rPr>
          <w:rFonts w:ascii="宋体" w:hAnsi="宋体"/>
          <w:color w:val="auto"/>
          <w:sz w:val="24"/>
        </w:rPr>
      </w:pPr>
      <w:bookmarkStart w:id="28" w:name="_Toc277779953"/>
      <w:bookmarkStart w:id="29" w:name="_Toc352224151"/>
      <w:r>
        <w:rPr>
          <w:rFonts w:hint="eastAsia" w:ascii="宋体" w:hAnsi="宋体"/>
          <w:color w:val="auto"/>
          <w:sz w:val="24"/>
        </w:rPr>
        <w:t>三、  投标文件的编写</w:t>
      </w:r>
      <w:bookmarkEnd w:id="28"/>
      <w:bookmarkEnd w:id="29"/>
    </w:p>
    <w:p>
      <w:pPr>
        <w:spacing w:line="360" w:lineRule="auto"/>
        <w:rPr>
          <w:rFonts w:ascii="宋体" w:hAnsi="宋体"/>
          <w:color w:val="auto"/>
          <w:sz w:val="24"/>
        </w:rPr>
      </w:pPr>
      <w:r>
        <w:rPr>
          <w:rFonts w:hint="eastAsia" w:ascii="宋体" w:hAnsi="宋体"/>
          <w:color w:val="auto"/>
          <w:sz w:val="24"/>
        </w:rPr>
        <w:t>8</w:t>
      </w:r>
      <w:r>
        <w:rPr>
          <w:rFonts w:ascii="宋体" w:hAnsi="宋体"/>
          <w:color w:val="auto"/>
          <w:sz w:val="24"/>
        </w:rPr>
        <w:t xml:space="preserve">. </w:t>
      </w:r>
      <w:r>
        <w:rPr>
          <w:rFonts w:hint="eastAsia" w:ascii="宋体" w:hAnsi="宋体"/>
          <w:color w:val="auto"/>
          <w:sz w:val="24"/>
        </w:rPr>
        <w:t>要求</w:t>
      </w:r>
    </w:p>
    <w:p>
      <w:pPr>
        <w:spacing w:line="360" w:lineRule="auto"/>
        <w:ind w:firstLine="480"/>
        <w:rPr>
          <w:rFonts w:ascii="宋体" w:hAnsi="宋体"/>
          <w:color w:val="auto"/>
          <w:sz w:val="24"/>
        </w:rPr>
      </w:pPr>
      <w:r>
        <w:rPr>
          <w:rFonts w:hint="eastAsia" w:ascii="宋体" w:hAnsi="宋体"/>
          <w:color w:val="auto"/>
          <w:sz w:val="24"/>
        </w:rPr>
        <w:t>8.1投标人应仔细阅读招标文件的所有内容，按照招标文件的要求提交投标文件。投标文件应对招标文件的要求作出实质性响应，并保证所提供的全部资料的真实性，否则其投标将被拒绝。</w:t>
      </w:r>
    </w:p>
    <w:p>
      <w:pPr>
        <w:tabs>
          <w:tab w:val="left" w:pos="900"/>
        </w:tabs>
        <w:spacing w:line="360" w:lineRule="auto"/>
        <w:ind w:firstLine="480" w:firstLineChars="200"/>
        <w:rPr>
          <w:rFonts w:ascii="宋体" w:hAnsi="宋体"/>
          <w:color w:val="auto"/>
          <w:sz w:val="24"/>
        </w:rPr>
      </w:pPr>
      <w:r>
        <w:rPr>
          <w:rFonts w:hint="eastAsia" w:ascii="宋体" w:hAnsi="宋体"/>
          <w:color w:val="auto"/>
          <w:sz w:val="24"/>
        </w:rPr>
        <w:t>8.2 除非有另外的规定，投标人可对招标货物一览表所列的全部合同包或部分合同包进行投标。招标代理机构不接受有任何可选择性的报价，每一种货物只能有一个报价。</w:t>
      </w:r>
    </w:p>
    <w:p>
      <w:pPr>
        <w:spacing w:line="360" w:lineRule="auto"/>
        <w:rPr>
          <w:rFonts w:ascii="宋体" w:hAnsi="宋体"/>
          <w:color w:val="auto"/>
          <w:sz w:val="24"/>
        </w:rPr>
      </w:pPr>
      <w:r>
        <w:rPr>
          <w:rFonts w:hint="eastAsia" w:ascii="宋体" w:hAnsi="宋体"/>
          <w:color w:val="auto"/>
          <w:sz w:val="24"/>
        </w:rPr>
        <w:t>9</w:t>
      </w:r>
      <w:r>
        <w:rPr>
          <w:rFonts w:ascii="宋体" w:hAnsi="宋体"/>
          <w:color w:val="auto"/>
          <w:sz w:val="24"/>
        </w:rPr>
        <w:t xml:space="preserve">. </w:t>
      </w:r>
      <w:r>
        <w:rPr>
          <w:rFonts w:hint="eastAsia" w:ascii="宋体" w:hAnsi="宋体"/>
          <w:color w:val="auto"/>
          <w:sz w:val="24"/>
        </w:rPr>
        <w:t>投标文件语言</w:t>
      </w:r>
    </w:p>
    <w:p>
      <w:pPr>
        <w:spacing w:line="360" w:lineRule="auto"/>
        <w:ind w:firstLine="480" w:firstLineChars="200"/>
        <w:rPr>
          <w:rFonts w:ascii="宋体" w:hAnsi="宋体"/>
          <w:color w:val="auto"/>
          <w:sz w:val="24"/>
        </w:rPr>
      </w:pPr>
      <w:r>
        <w:rPr>
          <w:rFonts w:hint="eastAsia" w:ascii="宋体" w:hAnsi="宋体"/>
          <w:color w:val="auto"/>
          <w:sz w:val="24"/>
        </w:rPr>
        <w:t>9.1投标文件应用中文书写。投标文件中所附或所引用的原件不是中文时，应附中文译本。各种计量单位及符号应采用国际上统一使用的公制计量单位和符号。</w:t>
      </w:r>
    </w:p>
    <w:p>
      <w:pPr>
        <w:adjustRightInd w:val="0"/>
        <w:spacing w:line="360" w:lineRule="auto"/>
        <w:ind w:firstLine="480" w:firstLineChars="200"/>
        <w:rPr>
          <w:rFonts w:ascii="宋体" w:hAnsi="宋体"/>
          <w:color w:val="auto"/>
          <w:sz w:val="24"/>
        </w:rPr>
      </w:pPr>
      <w:r>
        <w:rPr>
          <w:rFonts w:hint="eastAsia" w:ascii="宋体" w:hAnsi="宋体"/>
          <w:color w:val="auto"/>
          <w:sz w:val="24"/>
        </w:rPr>
        <w:t>9.2招标文件中载明的资格或技术商务要求中涉及的投标人提供的证明文件/材料的原件属于非中文描述的，必须提供具有翻译资质的机构翻译的中文译本。翻译机构应为中国翻译协会成员单位，翻译的中文译本应由翻译人员签名并加盖翻译机构公章，同时提供翻译人员翻译资格证书。投标人投标时提供的中文译本、翻译机构及翻译人员资格证书可为复印件，并加盖投标人公章。</w:t>
      </w:r>
    </w:p>
    <w:p>
      <w:pPr>
        <w:spacing w:line="360" w:lineRule="auto"/>
        <w:ind w:firstLine="482" w:firstLineChars="200"/>
        <w:rPr>
          <w:rFonts w:ascii="宋体" w:hAnsi="宋体"/>
          <w:color w:val="auto"/>
          <w:sz w:val="24"/>
        </w:rPr>
      </w:pPr>
      <w:r>
        <w:rPr>
          <w:rFonts w:hint="eastAsia" w:ascii="宋体" w:hAnsi="宋体"/>
          <w:b/>
          <w:color w:val="auto"/>
          <w:sz w:val="24"/>
        </w:rPr>
        <w:t>※中文译本未按上述要求提供的，认定为该项资格或技术商务的证明文件/材料无效，即该项资格或技术商务要求不符合。</w:t>
      </w:r>
    </w:p>
    <w:p>
      <w:pPr>
        <w:spacing w:line="360" w:lineRule="auto"/>
        <w:rPr>
          <w:rFonts w:ascii="宋体" w:hAnsi="宋体"/>
          <w:color w:val="auto"/>
          <w:sz w:val="24"/>
        </w:rPr>
      </w:pPr>
      <w:r>
        <w:rPr>
          <w:rFonts w:hint="eastAsia" w:ascii="宋体" w:hAnsi="宋体"/>
          <w:color w:val="auto"/>
          <w:sz w:val="24"/>
        </w:rPr>
        <w:t>10</w:t>
      </w:r>
      <w:r>
        <w:rPr>
          <w:rFonts w:ascii="宋体" w:hAnsi="宋体"/>
          <w:color w:val="auto"/>
          <w:sz w:val="24"/>
        </w:rPr>
        <w:t xml:space="preserve">. </w:t>
      </w:r>
      <w:r>
        <w:rPr>
          <w:rFonts w:hint="eastAsia" w:ascii="宋体" w:hAnsi="宋体"/>
          <w:color w:val="auto"/>
          <w:sz w:val="24"/>
        </w:rPr>
        <w:t>投标文件的组成</w:t>
      </w:r>
    </w:p>
    <w:p>
      <w:pPr>
        <w:spacing w:line="360" w:lineRule="auto"/>
        <w:ind w:firstLine="480" w:firstLineChars="200"/>
        <w:rPr>
          <w:rFonts w:ascii="宋体" w:hAnsi="宋体"/>
          <w:color w:val="auto"/>
          <w:sz w:val="24"/>
        </w:rPr>
      </w:pPr>
      <w:r>
        <w:rPr>
          <w:rFonts w:hint="eastAsia" w:ascii="宋体" w:hAnsi="宋体"/>
          <w:color w:val="auto"/>
          <w:sz w:val="24"/>
        </w:rPr>
        <w:t>10.1投标文件应包括下列部分</w:t>
      </w:r>
      <w:r>
        <w:rPr>
          <w:rFonts w:hint="eastAsia" w:ascii="宋体" w:hAnsi="宋体"/>
          <w:b/>
          <w:color w:val="auto"/>
          <w:sz w:val="24"/>
        </w:rPr>
        <w:t>（正本一份，</w:t>
      </w:r>
      <w:r>
        <w:rPr>
          <w:rFonts w:hint="eastAsia" w:ascii="宋体" w:hAnsi="宋体"/>
          <w:b/>
          <w:color w:val="auto"/>
          <w:sz w:val="24"/>
          <w:highlight w:val="yellow"/>
        </w:rPr>
        <w:t>副本三份</w:t>
      </w:r>
      <w:r>
        <w:rPr>
          <w:rFonts w:hint="eastAsia" w:ascii="宋体" w:hAnsi="宋体"/>
          <w:b/>
          <w:color w:val="auto"/>
          <w:sz w:val="24"/>
        </w:rPr>
        <w:t>）</w:t>
      </w:r>
      <w:r>
        <w:rPr>
          <w:rFonts w:hint="eastAsia" w:ascii="宋体" w:hAnsi="宋体"/>
          <w:color w:val="auto"/>
          <w:sz w:val="24"/>
        </w:rPr>
        <w:t>：</w:t>
      </w:r>
    </w:p>
    <w:p>
      <w:pPr>
        <w:spacing w:line="360" w:lineRule="auto"/>
        <w:ind w:firstLine="482" w:firstLineChars="200"/>
        <w:rPr>
          <w:rFonts w:ascii="宋体" w:hAnsi="宋体"/>
          <w:b/>
          <w:color w:val="auto"/>
          <w:sz w:val="24"/>
        </w:rPr>
      </w:pPr>
      <w:r>
        <w:rPr>
          <w:rFonts w:hint="eastAsia" w:ascii="宋体" w:hAnsi="宋体"/>
          <w:b/>
          <w:color w:val="auto"/>
          <w:sz w:val="24"/>
        </w:rPr>
        <w:t>（一）报价部分（单独编制装订成册并密封）：</w:t>
      </w:r>
    </w:p>
    <w:p>
      <w:pPr>
        <w:spacing w:line="360" w:lineRule="auto"/>
        <w:ind w:firstLine="600" w:firstLineChars="250"/>
        <w:rPr>
          <w:rFonts w:ascii="宋体" w:hAnsi="宋体"/>
          <w:color w:val="auto"/>
          <w:sz w:val="24"/>
        </w:rPr>
      </w:pPr>
      <w:r>
        <w:rPr>
          <w:rFonts w:hint="eastAsia" w:ascii="宋体" w:hAnsi="宋体"/>
          <w:color w:val="auto"/>
          <w:sz w:val="24"/>
        </w:rPr>
        <w:t>(1) 投标书</w:t>
      </w:r>
    </w:p>
    <w:p>
      <w:pPr>
        <w:spacing w:line="360" w:lineRule="auto"/>
        <w:ind w:firstLine="600" w:firstLineChars="250"/>
        <w:rPr>
          <w:rFonts w:ascii="宋体" w:hAnsi="宋体"/>
          <w:color w:val="auto"/>
          <w:sz w:val="24"/>
        </w:rPr>
      </w:pPr>
      <w:r>
        <w:rPr>
          <w:rFonts w:hint="eastAsia" w:ascii="宋体" w:hAnsi="宋体"/>
          <w:color w:val="auto"/>
          <w:sz w:val="24"/>
        </w:rPr>
        <w:t>(2) 开标一览表</w:t>
      </w:r>
    </w:p>
    <w:p>
      <w:pPr>
        <w:tabs>
          <w:tab w:val="left" w:pos="5355"/>
        </w:tabs>
        <w:spacing w:line="360" w:lineRule="auto"/>
        <w:ind w:firstLine="600" w:firstLineChars="250"/>
        <w:rPr>
          <w:rFonts w:ascii="宋体" w:hAnsi="宋体"/>
          <w:color w:val="auto"/>
          <w:sz w:val="24"/>
        </w:rPr>
      </w:pPr>
      <w:r>
        <w:rPr>
          <w:rFonts w:hint="eastAsia" w:ascii="宋体" w:hAnsi="宋体"/>
          <w:color w:val="auto"/>
          <w:sz w:val="24"/>
        </w:rPr>
        <w:t>(3) 投标分项报价表</w:t>
      </w:r>
    </w:p>
    <w:p>
      <w:pPr>
        <w:tabs>
          <w:tab w:val="left" w:pos="5355"/>
        </w:tabs>
        <w:spacing w:line="360" w:lineRule="auto"/>
        <w:ind w:firstLine="600" w:firstLineChars="250"/>
        <w:rPr>
          <w:rFonts w:ascii="宋体" w:hAnsi="宋体"/>
          <w:color w:val="auto"/>
          <w:sz w:val="24"/>
        </w:rPr>
      </w:pPr>
      <w:r>
        <w:rPr>
          <w:rFonts w:hint="eastAsia" w:ascii="宋体" w:hAnsi="宋体"/>
          <w:color w:val="auto"/>
          <w:sz w:val="24"/>
        </w:rPr>
        <w:t>(4) 节能、减排、环境标志产品加分明细表</w:t>
      </w:r>
    </w:p>
    <w:p>
      <w:pPr>
        <w:spacing w:line="360" w:lineRule="auto"/>
        <w:ind w:firstLine="600" w:firstLineChars="250"/>
        <w:rPr>
          <w:rFonts w:ascii="宋体" w:hAnsi="宋体"/>
          <w:color w:val="auto"/>
          <w:sz w:val="24"/>
        </w:rPr>
      </w:pPr>
      <w:r>
        <w:rPr>
          <w:rFonts w:hint="eastAsia" w:ascii="宋体" w:hAnsi="宋体"/>
          <w:color w:val="auto"/>
          <w:sz w:val="24"/>
        </w:rPr>
        <w:t>(5) 小型、微型企业产品等统计表</w:t>
      </w:r>
    </w:p>
    <w:p>
      <w:pPr>
        <w:spacing w:line="360" w:lineRule="auto"/>
        <w:ind w:firstLine="600" w:firstLineChars="250"/>
        <w:rPr>
          <w:rFonts w:ascii="宋体" w:hAnsi="宋体"/>
          <w:color w:val="auto"/>
          <w:sz w:val="24"/>
        </w:rPr>
      </w:pPr>
      <w:r>
        <w:rPr>
          <w:rFonts w:hint="eastAsia" w:ascii="宋体" w:hAnsi="宋体"/>
          <w:color w:val="auto"/>
          <w:sz w:val="24"/>
        </w:rPr>
        <w:t>(6) 中小企业声明函</w:t>
      </w:r>
    </w:p>
    <w:p>
      <w:pPr>
        <w:spacing w:line="360" w:lineRule="auto"/>
        <w:ind w:firstLine="482" w:firstLineChars="200"/>
        <w:rPr>
          <w:rFonts w:ascii="宋体" w:hAnsi="宋体"/>
          <w:b/>
          <w:color w:val="auto"/>
          <w:sz w:val="24"/>
        </w:rPr>
      </w:pPr>
      <w:r>
        <w:rPr>
          <w:rFonts w:hint="eastAsia" w:ascii="宋体" w:hAnsi="宋体"/>
          <w:b/>
          <w:color w:val="auto"/>
          <w:sz w:val="24"/>
        </w:rPr>
        <w:t>（二）技术商务部分（单独编制装订成册并密封）：</w:t>
      </w:r>
    </w:p>
    <w:p>
      <w:pPr>
        <w:spacing w:line="360" w:lineRule="auto"/>
        <w:ind w:firstLine="600" w:firstLineChars="250"/>
        <w:rPr>
          <w:rFonts w:ascii="宋体" w:hAnsi="宋体"/>
          <w:color w:val="auto"/>
          <w:sz w:val="24"/>
        </w:rPr>
      </w:pPr>
      <w:r>
        <w:rPr>
          <w:rFonts w:hint="eastAsia" w:ascii="宋体" w:hAnsi="宋体"/>
          <w:color w:val="auto"/>
          <w:sz w:val="24"/>
        </w:rPr>
        <w:t>(1) 技术商务评分索引表</w:t>
      </w:r>
    </w:p>
    <w:p>
      <w:pPr>
        <w:spacing w:line="360" w:lineRule="auto"/>
        <w:ind w:firstLine="600" w:firstLineChars="250"/>
        <w:rPr>
          <w:rFonts w:ascii="宋体" w:hAnsi="宋体"/>
          <w:color w:val="auto"/>
          <w:sz w:val="24"/>
        </w:rPr>
      </w:pPr>
      <w:r>
        <w:rPr>
          <w:rFonts w:hint="eastAsia" w:ascii="宋体" w:hAnsi="宋体"/>
          <w:color w:val="auto"/>
          <w:sz w:val="24"/>
        </w:rPr>
        <w:t>(2) 货物说明一览表</w:t>
      </w:r>
    </w:p>
    <w:p>
      <w:pPr>
        <w:spacing w:line="360" w:lineRule="auto"/>
        <w:ind w:firstLine="600" w:firstLineChars="250"/>
        <w:rPr>
          <w:rFonts w:ascii="宋体" w:hAnsi="宋体"/>
          <w:color w:val="auto"/>
          <w:sz w:val="24"/>
        </w:rPr>
      </w:pPr>
      <w:r>
        <w:rPr>
          <w:rFonts w:hint="eastAsia" w:ascii="宋体" w:hAnsi="宋体"/>
          <w:color w:val="auto"/>
          <w:sz w:val="24"/>
        </w:rPr>
        <w:t xml:space="preserve">(3) 供货范围清单 </w:t>
      </w:r>
    </w:p>
    <w:p>
      <w:pPr>
        <w:spacing w:line="360" w:lineRule="auto"/>
        <w:ind w:firstLine="600" w:firstLineChars="250"/>
        <w:rPr>
          <w:rFonts w:ascii="宋体" w:hAnsi="宋体"/>
          <w:color w:val="auto"/>
          <w:sz w:val="24"/>
        </w:rPr>
      </w:pPr>
      <w:r>
        <w:rPr>
          <w:rFonts w:hint="eastAsia" w:ascii="宋体" w:hAnsi="宋体"/>
          <w:color w:val="auto"/>
          <w:sz w:val="24"/>
        </w:rPr>
        <w:t>(4) 技术规格偏离表</w:t>
      </w:r>
    </w:p>
    <w:p>
      <w:pPr>
        <w:spacing w:line="360" w:lineRule="auto"/>
        <w:ind w:firstLine="600" w:firstLineChars="250"/>
        <w:rPr>
          <w:rFonts w:ascii="宋体" w:hAnsi="宋体"/>
          <w:color w:val="auto"/>
          <w:sz w:val="24"/>
        </w:rPr>
      </w:pPr>
      <w:r>
        <w:rPr>
          <w:rFonts w:hint="eastAsia" w:ascii="宋体" w:hAnsi="宋体"/>
          <w:color w:val="auto"/>
          <w:sz w:val="24"/>
        </w:rPr>
        <w:t>(5) 商务偏离表</w:t>
      </w:r>
    </w:p>
    <w:p>
      <w:pPr>
        <w:spacing w:line="360" w:lineRule="auto"/>
        <w:ind w:firstLine="480"/>
        <w:rPr>
          <w:rFonts w:ascii="宋体" w:hAnsi="宋体"/>
          <w:color w:val="auto"/>
          <w:sz w:val="24"/>
        </w:rPr>
      </w:pPr>
      <w:r>
        <w:rPr>
          <w:rFonts w:hint="eastAsia" w:ascii="宋体" w:hAnsi="宋体"/>
          <w:color w:val="auto"/>
          <w:sz w:val="24"/>
        </w:rPr>
        <w:t xml:space="preserve"> (6) 投标人资格证明文件</w:t>
      </w:r>
    </w:p>
    <w:p>
      <w:pPr>
        <w:spacing w:line="360" w:lineRule="auto"/>
        <w:ind w:firstLine="600" w:firstLineChars="250"/>
        <w:rPr>
          <w:rFonts w:ascii="宋体" w:hAnsi="宋体"/>
          <w:color w:val="auto"/>
          <w:sz w:val="24"/>
        </w:rPr>
      </w:pPr>
      <w:r>
        <w:rPr>
          <w:rFonts w:hint="eastAsia" w:ascii="宋体" w:hAnsi="宋体"/>
          <w:color w:val="auto"/>
          <w:sz w:val="24"/>
        </w:rPr>
        <w:t>(7) 质保期和售后服务承诺书</w:t>
      </w:r>
    </w:p>
    <w:p>
      <w:pPr>
        <w:spacing w:line="360" w:lineRule="auto"/>
        <w:ind w:firstLine="600" w:firstLineChars="250"/>
        <w:rPr>
          <w:rFonts w:ascii="宋体" w:hAnsi="宋体"/>
          <w:color w:val="auto"/>
          <w:sz w:val="24"/>
        </w:rPr>
      </w:pPr>
      <w:r>
        <w:rPr>
          <w:rFonts w:hint="eastAsia" w:ascii="宋体" w:hAnsi="宋体"/>
          <w:color w:val="auto"/>
          <w:sz w:val="24"/>
        </w:rPr>
        <w:t>(8) 投标人提交的其它资料</w:t>
      </w:r>
    </w:p>
    <w:p>
      <w:pPr>
        <w:spacing w:line="360" w:lineRule="auto"/>
        <w:ind w:firstLine="600" w:firstLineChars="250"/>
        <w:rPr>
          <w:rFonts w:ascii="宋体" w:hAnsi="宋体"/>
          <w:color w:val="auto"/>
          <w:sz w:val="24"/>
        </w:rPr>
      </w:pPr>
      <w:r>
        <w:rPr>
          <w:rFonts w:hint="eastAsia" w:ascii="宋体" w:hAnsi="宋体"/>
          <w:color w:val="auto"/>
          <w:sz w:val="24"/>
        </w:rPr>
        <w:t>(9) 招标服务费承诺书</w:t>
      </w:r>
    </w:p>
    <w:p>
      <w:pPr>
        <w:spacing w:line="360" w:lineRule="auto"/>
        <w:ind w:firstLine="600" w:firstLineChars="250"/>
        <w:rPr>
          <w:rFonts w:ascii="宋体" w:hAnsi="宋体"/>
          <w:color w:val="auto"/>
          <w:sz w:val="24"/>
        </w:rPr>
      </w:pPr>
      <w:r>
        <w:rPr>
          <w:rFonts w:hint="eastAsia" w:ascii="宋体" w:hAnsi="宋体"/>
          <w:color w:val="auto"/>
          <w:sz w:val="24"/>
        </w:rPr>
        <w:t>(10) 投标保证金</w:t>
      </w:r>
    </w:p>
    <w:p>
      <w:pPr>
        <w:spacing w:line="360" w:lineRule="auto"/>
        <w:ind w:firstLine="600" w:firstLineChars="250"/>
        <w:rPr>
          <w:rFonts w:ascii="宋体" w:hAnsi="宋体"/>
          <w:color w:val="auto"/>
          <w:sz w:val="24"/>
        </w:rPr>
      </w:pPr>
      <w:r>
        <w:rPr>
          <w:rFonts w:hint="eastAsia" w:ascii="宋体" w:hAnsi="宋体"/>
          <w:color w:val="auto"/>
          <w:sz w:val="24"/>
        </w:rPr>
        <w:t>(11) 退回投标保证金授权函</w:t>
      </w:r>
    </w:p>
    <w:p>
      <w:pPr>
        <w:spacing w:line="360" w:lineRule="auto"/>
        <w:ind w:firstLine="480" w:firstLineChars="200"/>
        <w:rPr>
          <w:rFonts w:ascii="宋体" w:hAnsi="宋体"/>
          <w:color w:val="auto"/>
          <w:sz w:val="24"/>
        </w:rPr>
      </w:pPr>
      <w:r>
        <w:rPr>
          <w:rFonts w:hint="eastAsia" w:ascii="宋体" w:hAnsi="宋体"/>
          <w:color w:val="auto"/>
          <w:sz w:val="24"/>
        </w:rPr>
        <w:t xml:space="preserve"> (12) 投标人廉政保证书</w:t>
      </w:r>
    </w:p>
    <w:p>
      <w:pPr>
        <w:spacing w:line="360" w:lineRule="auto"/>
        <w:rPr>
          <w:rFonts w:ascii="宋体" w:hAnsi="宋体"/>
          <w:color w:val="auto"/>
          <w:sz w:val="24"/>
        </w:rPr>
      </w:pPr>
      <w:r>
        <w:rPr>
          <w:rFonts w:hint="eastAsia" w:ascii="宋体" w:hAnsi="宋体"/>
          <w:color w:val="auto"/>
          <w:sz w:val="24"/>
        </w:rPr>
        <w:t>11</w:t>
      </w:r>
      <w:r>
        <w:rPr>
          <w:rFonts w:ascii="宋体" w:hAnsi="宋体"/>
          <w:color w:val="auto"/>
          <w:sz w:val="24"/>
        </w:rPr>
        <w:t xml:space="preserve">. </w:t>
      </w:r>
      <w:r>
        <w:rPr>
          <w:rFonts w:hint="eastAsia" w:ascii="宋体" w:hAnsi="宋体"/>
          <w:color w:val="auto"/>
          <w:sz w:val="24"/>
        </w:rPr>
        <w:t>投标有效期</w:t>
      </w:r>
    </w:p>
    <w:p>
      <w:pPr>
        <w:spacing w:line="360" w:lineRule="auto"/>
        <w:ind w:firstLine="480"/>
        <w:rPr>
          <w:rFonts w:ascii="宋体" w:hAnsi="宋体"/>
          <w:color w:val="auto"/>
          <w:sz w:val="24"/>
        </w:rPr>
      </w:pPr>
      <w:r>
        <w:rPr>
          <w:rFonts w:hint="eastAsia" w:ascii="宋体" w:hAnsi="宋体"/>
          <w:color w:val="auto"/>
          <w:sz w:val="24"/>
        </w:rPr>
        <w:t>11.1投标文件从投标人须知前附表第4项所规定的投标截止期之后开始生效，在投标人须知前附表第</w:t>
      </w:r>
      <w:r>
        <w:rPr>
          <w:rFonts w:ascii="宋体" w:hAnsi="宋体"/>
          <w:color w:val="auto"/>
          <w:sz w:val="24"/>
        </w:rPr>
        <w:t>3</w:t>
      </w:r>
      <w:r>
        <w:rPr>
          <w:rFonts w:hint="eastAsia" w:ascii="宋体" w:hAnsi="宋体"/>
          <w:color w:val="auto"/>
          <w:sz w:val="24"/>
        </w:rPr>
        <w:t>项所规定的期限内保持有效。有效期不足将导致其投标文件被拒绝。</w:t>
      </w:r>
    </w:p>
    <w:p>
      <w:pPr>
        <w:spacing w:line="360" w:lineRule="auto"/>
        <w:ind w:firstLine="480"/>
        <w:rPr>
          <w:rFonts w:ascii="宋体" w:hAnsi="宋体"/>
          <w:color w:val="auto"/>
          <w:sz w:val="24"/>
        </w:rPr>
      </w:pPr>
      <w:r>
        <w:rPr>
          <w:rFonts w:hint="eastAsia" w:ascii="宋体" w:hAnsi="宋体"/>
          <w:color w:val="auto"/>
          <w:sz w:val="24"/>
        </w:rPr>
        <w:t>11.2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spacing w:line="360" w:lineRule="auto"/>
        <w:rPr>
          <w:rFonts w:ascii="宋体" w:hAnsi="宋体"/>
          <w:color w:val="auto"/>
          <w:sz w:val="24"/>
        </w:rPr>
      </w:pPr>
      <w:r>
        <w:rPr>
          <w:rFonts w:hint="eastAsia" w:ascii="宋体" w:hAnsi="宋体"/>
          <w:color w:val="auto"/>
          <w:sz w:val="24"/>
        </w:rPr>
        <w:t>12. 投标保证金</w:t>
      </w:r>
    </w:p>
    <w:p>
      <w:pPr>
        <w:spacing w:line="360" w:lineRule="auto"/>
        <w:ind w:firstLine="480"/>
        <w:rPr>
          <w:rFonts w:ascii="宋体" w:hAnsi="宋体"/>
          <w:color w:val="auto"/>
          <w:sz w:val="24"/>
        </w:rPr>
      </w:pPr>
      <w:r>
        <w:rPr>
          <w:rFonts w:hint="eastAsia" w:ascii="宋体" w:hAnsi="宋体"/>
          <w:color w:val="auto"/>
          <w:sz w:val="24"/>
        </w:rPr>
        <w:t>12.1 投标保证金为投标文件的组成部分之一。</w:t>
      </w:r>
    </w:p>
    <w:p>
      <w:pPr>
        <w:spacing w:line="360" w:lineRule="auto"/>
        <w:ind w:firstLine="480"/>
        <w:rPr>
          <w:rFonts w:ascii="宋体" w:hAnsi="宋体"/>
          <w:color w:val="auto"/>
          <w:sz w:val="24"/>
        </w:rPr>
      </w:pPr>
      <w:r>
        <w:rPr>
          <w:rFonts w:hint="eastAsia" w:ascii="宋体" w:hAnsi="宋体"/>
          <w:color w:val="auto"/>
          <w:sz w:val="24"/>
        </w:rPr>
        <w:t>12.2 投标人应在提交投标文件之前向招标代理机构缴交投标人须知前附表第5项要求的投标保证金。</w:t>
      </w:r>
    </w:p>
    <w:p>
      <w:pPr>
        <w:spacing w:line="360" w:lineRule="auto"/>
        <w:ind w:firstLine="480"/>
        <w:rPr>
          <w:rFonts w:ascii="宋体" w:hAnsi="宋体"/>
          <w:color w:val="auto"/>
          <w:sz w:val="24"/>
        </w:rPr>
      </w:pPr>
      <w:r>
        <w:rPr>
          <w:rFonts w:hint="eastAsia" w:ascii="宋体" w:hAnsi="宋体"/>
          <w:color w:val="auto"/>
          <w:sz w:val="24"/>
        </w:rPr>
        <w:t>12.3 投标保证金用于保护本次招标活动免受投标人的行为而引起的风险。</w:t>
      </w:r>
    </w:p>
    <w:p>
      <w:pPr>
        <w:spacing w:line="360" w:lineRule="auto"/>
        <w:ind w:firstLine="480"/>
        <w:rPr>
          <w:rFonts w:ascii="宋体" w:hAnsi="宋体"/>
          <w:color w:val="auto"/>
          <w:sz w:val="24"/>
        </w:rPr>
      </w:pPr>
      <w:r>
        <w:rPr>
          <w:rFonts w:hint="eastAsia" w:ascii="宋体" w:hAnsi="宋体"/>
          <w:color w:val="auto"/>
          <w:sz w:val="24"/>
        </w:rPr>
        <w:t>12.4 投标保证金以电汇或转帐形式提交并到达招标文件指定账号。</w:t>
      </w:r>
    </w:p>
    <w:p>
      <w:pPr>
        <w:spacing w:line="360" w:lineRule="auto"/>
        <w:ind w:firstLine="480"/>
        <w:rPr>
          <w:rFonts w:ascii="宋体" w:hAnsi="宋体"/>
          <w:color w:val="auto"/>
          <w:sz w:val="24"/>
        </w:rPr>
      </w:pPr>
      <w:r>
        <w:rPr>
          <w:rFonts w:hint="eastAsia" w:ascii="宋体" w:hAnsi="宋体"/>
          <w:color w:val="auto"/>
          <w:sz w:val="24"/>
        </w:rPr>
        <w:t>12.5</w:t>
      </w:r>
      <w:r>
        <w:rPr>
          <w:rFonts w:hint="eastAsia" w:ascii="宋体" w:hAnsi="宋体"/>
          <w:b/>
          <w:color w:val="auto"/>
          <w:sz w:val="24"/>
          <w:shd w:val="pct10" w:color="auto" w:fill="FFFFFF"/>
        </w:rPr>
        <w:t xml:space="preserve"> 未按规定缴交投标保证金的投标，将被视为无效投标。</w:t>
      </w:r>
    </w:p>
    <w:p>
      <w:pPr>
        <w:pStyle w:val="9"/>
        <w:snapToGrid w:val="0"/>
        <w:spacing w:line="360" w:lineRule="auto"/>
        <w:ind w:firstLine="480"/>
        <w:rPr>
          <w:rFonts w:ascii="宋体" w:hAnsi="宋体"/>
          <w:color w:val="auto"/>
          <w:sz w:val="24"/>
        </w:rPr>
      </w:pPr>
      <w:r>
        <w:rPr>
          <w:rFonts w:hint="eastAsia" w:ascii="宋体" w:hAnsi="宋体"/>
          <w:color w:val="auto"/>
          <w:sz w:val="24"/>
        </w:rPr>
        <w:t>12.6招标代理机构</w:t>
      </w:r>
      <w:r>
        <w:rPr>
          <w:rFonts w:ascii="宋体" w:hAnsi="宋体"/>
          <w:color w:val="auto"/>
          <w:sz w:val="24"/>
        </w:rPr>
        <w:t>将在</w:t>
      </w:r>
      <w:r>
        <w:rPr>
          <w:rFonts w:hint="eastAsia" w:ascii="宋体" w:hAnsi="宋体"/>
          <w:color w:val="auto"/>
          <w:sz w:val="24"/>
        </w:rPr>
        <w:t>中标通知书发出之日起五个工作日内予以原额无息退还</w:t>
      </w:r>
      <w:r>
        <w:rPr>
          <w:rFonts w:ascii="宋体" w:hAnsi="宋体"/>
          <w:color w:val="auto"/>
          <w:sz w:val="24"/>
        </w:rPr>
        <w:t>中标</w:t>
      </w:r>
      <w:r>
        <w:rPr>
          <w:rFonts w:hint="eastAsia" w:ascii="宋体" w:hAnsi="宋体"/>
          <w:color w:val="auto"/>
          <w:sz w:val="24"/>
        </w:rPr>
        <w:t>人以外</w:t>
      </w:r>
      <w:r>
        <w:rPr>
          <w:rFonts w:ascii="宋体" w:hAnsi="宋体"/>
          <w:color w:val="auto"/>
          <w:sz w:val="24"/>
        </w:rPr>
        <w:t>的</w:t>
      </w:r>
      <w:r>
        <w:rPr>
          <w:rFonts w:hint="eastAsia" w:ascii="宋体" w:hAnsi="宋体"/>
          <w:color w:val="auto"/>
          <w:sz w:val="24"/>
        </w:rPr>
        <w:t>投标人</w:t>
      </w:r>
      <w:r>
        <w:rPr>
          <w:rFonts w:ascii="宋体" w:hAnsi="宋体"/>
          <w:color w:val="auto"/>
          <w:sz w:val="24"/>
        </w:rPr>
        <w:t>的投标保证金</w:t>
      </w:r>
      <w:r>
        <w:rPr>
          <w:rFonts w:hint="eastAsia" w:ascii="宋体" w:hAnsi="宋体"/>
          <w:color w:val="auto"/>
          <w:sz w:val="24"/>
        </w:rPr>
        <w:t>。因招标代理机构原因造成逾期退还</w:t>
      </w:r>
      <w:r>
        <w:rPr>
          <w:rFonts w:ascii="宋体" w:hAnsi="宋体"/>
          <w:color w:val="auto"/>
          <w:sz w:val="24"/>
        </w:rPr>
        <w:t>投标保证金的</w:t>
      </w:r>
      <w:r>
        <w:rPr>
          <w:rFonts w:hint="eastAsia" w:ascii="宋体" w:hAnsi="宋体"/>
          <w:color w:val="auto"/>
          <w:sz w:val="24"/>
        </w:rPr>
        <w:t>,招标代理机构应当按商业银行同期一年期贷款基准利率上浮20%后的利率向投标人支付资金占用费</w:t>
      </w:r>
      <w:r>
        <w:rPr>
          <w:rFonts w:hint="eastAsia" w:ascii="宋体" w:hAnsi="宋体"/>
          <w:color w:val="auto"/>
        </w:rPr>
        <w:t>。</w:t>
      </w:r>
    </w:p>
    <w:p>
      <w:pPr>
        <w:pStyle w:val="9"/>
        <w:snapToGrid w:val="0"/>
        <w:spacing w:line="360" w:lineRule="auto"/>
        <w:ind w:firstLine="480" w:firstLineChars="200"/>
        <w:rPr>
          <w:rFonts w:ascii="宋体" w:hAnsi="宋体"/>
          <w:color w:val="auto"/>
          <w:sz w:val="24"/>
          <w:u w:val="single"/>
        </w:rPr>
      </w:pPr>
      <w:r>
        <w:rPr>
          <w:rFonts w:hint="eastAsia" w:ascii="宋体" w:hAnsi="宋体"/>
          <w:color w:val="auto"/>
          <w:sz w:val="24"/>
        </w:rPr>
        <w:t>12.7在中标</w:t>
      </w:r>
      <w:r>
        <w:rPr>
          <w:rFonts w:ascii="宋体" w:hAnsi="宋体"/>
          <w:color w:val="auto"/>
          <w:sz w:val="24"/>
        </w:rPr>
        <w:t>人</w:t>
      </w:r>
      <w:r>
        <w:rPr>
          <w:rFonts w:hint="eastAsia" w:ascii="宋体" w:hAnsi="宋体"/>
          <w:color w:val="auto"/>
          <w:sz w:val="24"/>
        </w:rPr>
        <w:t>支付所有招标服务费并签订合同</w:t>
      </w:r>
      <w:r>
        <w:rPr>
          <w:rFonts w:hint="eastAsia" w:ascii="宋体" w:hAnsi="宋体"/>
          <w:color w:val="auto"/>
          <w:sz w:val="24"/>
          <w:u w:val="single"/>
        </w:rPr>
        <w:t>（采购人如有要求中标人支付履约保证金的，则增加：支付履约保证金）</w:t>
      </w:r>
      <w:r>
        <w:rPr>
          <w:rFonts w:hint="eastAsia" w:ascii="宋体" w:hAnsi="宋体"/>
          <w:color w:val="auto"/>
          <w:sz w:val="24"/>
        </w:rPr>
        <w:t>后5个工作日内，</w:t>
      </w:r>
      <w:r>
        <w:rPr>
          <w:rFonts w:ascii="宋体" w:hAnsi="宋体"/>
          <w:color w:val="auto"/>
          <w:sz w:val="24"/>
        </w:rPr>
        <w:t>中标</w:t>
      </w:r>
      <w:r>
        <w:rPr>
          <w:rFonts w:hint="eastAsia" w:ascii="宋体" w:hAnsi="宋体"/>
          <w:color w:val="auto"/>
          <w:sz w:val="24"/>
        </w:rPr>
        <w:t>人</w:t>
      </w:r>
      <w:r>
        <w:rPr>
          <w:rFonts w:ascii="宋体" w:hAnsi="宋体"/>
          <w:color w:val="auto"/>
          <w:sz w:val="24"/>
        </w:rPr>
        <w:t>的投标保证金</w:t>
      </w:r>
      <w:r>
        <w:rPr>
          <w:rFonts w:hint="eastAsia" w:ascii="宋体" w:hAnsi="宋体"/>
          <w:color w:val="auto"/>
          <w:sz w:val="24"/>
        </w:rPr>
        <w:t>予以原额无息退还。</w:t>
      </w:r>
    </w:p>
    <w:p>
      <w:pPr>
        <w:pStyle w:val="9"/>
        <w:snapToGrid w:val="0"/>
        <w:spacing w:line="360" w:lineRule="auto"/>
        <w:ind w:firstLine="240" w:firstLineChars="100"/>
        <w:rPr>
          <w:rFonts w:ascii="宋体" w:hAnsi="宋体"/>
          <w:color w:val="auto"/>
        </w:rPr>
      </w:pPr>
      <w:r>
        <w:rPr>
          <w:rFonts w:hint="eastAsia" w:ascii="宋体" w:hAnsi="宋体"/>
          <w:color w:val="auto"/>
          <w:sz w:val="24"/>
        </w:rPr>
        <w:t xml:space="preserve"> 12.8 投标保证金的有效期为投标有效期满后的30个日历日。</w:t>
      </w:r>
    </w:p>
    <w:p>
      <w:pPr>
        <w:spacing w:line="360" w:lineRule="auto"/>
        <w:ind w:firstLine="480"/>
        <w:rPr>
          <w:rFonts w:ascii="宋体" w:hAnsi="宋体"/>
          <w:color w:val="auto"/>
          <w:sz w:val="24"/>
        </w:rPr>
      </w:pPr>
      <w:r>
        <w:rPr>
          <w:rFonts w:hint="eastAsia" w:ascii="宋体" w:hAnsi="宋体"/>
          <w:color w:val="auto"/>
          <w:sz w:val="24"/>
        </w:rPr>
        <w:t>12.9 发生以下情况之一的，投标保证金将不予退还：</w:t>
      </w:r>
    </w:p>
    <w:p>
      <w:pPr>
        <w:pStyle w:val="9"/>
        <w:snapToGrid w:val="0"/>
        <w:spacing w:line="360" w:lineRule="auto"/>
        <w:ind w:firstLine="480" w:firstLineChars="200"/>
        <w:rPr>
          <w:rFonts w:ascii="宋体" w:hAnsi="宋体"/>
          <w:color w:val="auto"/>
          <w:sz w:val="24"/>
        </w:rPr>
      </w:pPr>
      <w:r>
        <w:rPr>
          <w:rFonts w:hint="eastAsia" w:ascii="宋体" w:hAnsi="宋体"/>
          <w:color w:val="auto"/>
          <w:sz w:val="24"/>
        </w:rPr>
        <w:t>⑴ 投标人在投标截止期后，投标有效期内撤回投标；</w:t>
      </w:r>
    </w:p>
    <w:p>
      <w:pPr>
        <w:spacing w:line="360" w:lineRule="auto"/>
        <w:ind w:left="239" w:leftChars="114" w:firstLine="240" w:firstLineChars="100"/>
        <w:rPr>
          <w:rFonts w:ascii="宋体" w:hAnsi="宋体"/>
          <w:color w:val="auto"/>
          <w:sz w:val="24"/>
        </w:rPr>
      </w:pPr>
      <w:r>
        <w:rPr>
          <w:rFonts w:hint="eastAsia" w:ascii="宋体" w:hAnsi="宋体"/>
          <w:color w:val="auto"/>
          <w:sz w:val="24"/>
        </w:rPr>
        <w:t>⑵ 中标人未能做到按本须知第22条规定签订合同；</w:t>
      </w:r>
    </w:p>
    <w:p>
      <w:pPr>
        <w:spacing w:line="360" w:lineRule="auto"/>
        <w:ind w:left="707" w:leftChars="228" w:hanging="228" w:hangingChars="95"/>
        <w:rPr>
          <w:rFonts w:ascii="宋体" w:hAnsi="宋体"/>
          <w:color w:val="auto"/>
          <w:sz w:val="24"/>
        </w:rPr>
      </w:pPr>
      <w:r>
        <w:rPr>
          <w:rFonts w:hint="eastAsia" w:ascii="宋体" w:hAnsi="宋体"/>
          <w:color w:val="auto"/>
          <w:sz w:val="24"/>
        </w:rPr>
        <w:t>⑶ 中标人未按投标人须知前附表规定缴纳招标服务费；</w:t>
      </w:r>
      <w:r>
        <w:rPr>
          <w:rFonts w:hint="eastAsia" w:ascii="宋体" w:hAnsi="宋体"/>
          <w:color w:val="auto"/>
          <w:sz w:val="24"/>
          <w:u w:val="single"/>
        </w:rPr>
        <w:t>（采购人如有要求中标人支付履约保证金的，增加：中标人未按本须知第12.7条规定提交履约保证金的；）</w:t>
      </w:r>
    </w:p>
    <w:p>
      <w:pPr>
        <w:spacing w:line="360" w:lineRule="auto"/>
        <w:ind w:firstLine="480" w:firstLineChars="200"/>
        <w:rPr>
          <w:rFonts w:ascii="宋体" w:hAnsi="宋体"/>
          <w:color w:val="auto"/>
          <w:sz w:val="24"/>
        </w:rPr>
      </w:pPr>
      <w:r>
        <w:rPr>
          <w:rFonts w:hint="eastAsia" w:ascii="宋体" w:hAnsi="宋体"/>
          <w:color w:val="auto"/>
          <w:sz w:val="24"/>
        </w:rPr>
        <w:t>⑷ 以他人名义投标或者以其他方式弄虚作假或虚假应标的，骗取中标；</w:t>
      </w:r>
    </w:p>
    <w:p>
      <w:pPr>
        <w:spacing w:line="360" w:lineRule="auto"/>
        <w:ind w:left="239" w:leftChars="114" w:firstLine="240" w:firstLineChars="100"/>
        <w:rPr>
          <w:rFonts w:ascii="宋体" w:hAnsi="宋体"/>
          <w:color w:val="auto"/>
          <w:sz w:val="24"/>
        </w:rPr>
      </w:pPr>
      <w:r>
        <w:rPr>
          <w:rFonts w:hint="eastAsia" w:ascii="宋体" w:hAnsi="宋体"/>
          <w:color w:val="auto"/>
          <w:sz w:val="24"/>
        </w:rPr>
        <w:t>⑸ 本招标文件中规定的其他没收投标保证金的情形。</w:t>
      </w:r>
    </w:p>
    <w:p>
      <w:pPr>
        <w:spacing w:line="360" w:lineRule="auto"/>
        <w:ind w:firstLine="480" w:firstLineChars="200"/>
        <w:rPr>
          <w:rFonts w:ascii="宋体" w:hAnsi="宋体"/>
          <w:color w:val="auto"/>
          <w:sz w:val="24"/>
        </w:rPr>
      </w:pPr>
      <w:r>
        <w:rPr>
          <w:rFonts w:hint="eastAsia" w:ascii="宋体" w:hAnsi="宋体"/>
          <w:color w:val="auto"/>
          <w:sz w:val="24"/>
        </w:rPr>
        <w:t>上述不予退还投标保证金的情况给招标采购单位造成损失的，还要承担赔偿责任。</w:t>
      </w:r>
    </w:p>
    <w:p>
      <w:pPr>
        <w:spacing w:line="360" w:lineRule="auto"/>
        <w:rPr>
          <w:rFonts w:ascii="宋体" w:hAnsi="宋体"/>
          <w:color w:val="auto"/>
          <w:sz w:val="24"/>
        </w:rPr>
      </w:pPr>
      <w:r>
        <w:rPr>
          <w:rFonts w:hint="eastAsia" w:ascii="宋体" w:hAnsi="宋体"/>
          <w:color w:val="auto"/>
          <w:sz w:val="24"/>
        </w:rPr>
        <w:t>13</w:t>
      </w:r>
      <w:r>
        <w:rPr>
          <w:rFonts w:ascii="宋体" w:hAnsi="宋体"/>
          <w:color w:val="auto"/>
          <w:sz w:val="24"/>
        </w:rPr>
        <w:t xml:space="preserve">. </w:t>
      </w:r>
      <w:r>
        <w:rPr>
          <w:rFonts w:hint="eastAsia" w:ascii="宋体" w:hAnsi="宋体"/>
          <w:color w:val="auto"/>
          <w:sz w:val="24"/>
        </w:rPr>
        <w:t>投标文件的格式</w:t>
      </w:r>
    </w:p>
    <w:p>
      <w:pPr>
        <w:spacing w:line="360" w:lineRule="auto"/>
        <w:ind w:firstLine="354" w:firstLineChars="147"/>
        <w:rPr>
          <w:rFonts w:ascii="宋体" w:hAnsi="宋体"/>
          <w:b/>
          <w:color w:val="auto"/>
          <w:sz w:val="24"/>
          <w:shd w:val="pct10" w:color="auto" w:fill="FFFFFF"/>
        </w:rPr>
      </w:pPr>
      <w:r>
        <w:rPr>
          <w:rFonts w:hint="eastAsia" w:ascii="宋体" w:hAnsi="宋体"/>
          <w:b/>
          <w:color w:val="auto"/>
          <w:sz w:val="24"/>
          <w:shd w:val="pct10" w:color="auto" w:fill="FFFFFF"/>
        </w:rPr>
        <w:t>13.1投标人须编制由本须知第10条规定文件组成的投标文件正本一份和</w:t>
      </w:r>
      <w:r>
        <w:rPr>
          <w:rFonts w:hint="eastAsia" w:ascii="宋体" w:hAnsi="宋体"/>
          <w:b/>
          <w:color w:val="auto"/>
          <w:sz w:val="24"/>
          <w:highlight w:val="yellow"/>
          <w:shd w:val="pct10" w:color="auto" w:fill="FFFFFF"/>
        </w:rPr>
        <w:t>副本三份</w:t>
      </w:r>
      <w:r>
        <w:rPr>
          <w:rFonts w:hint="eastAsia" w:ascii="宋体" w:hAnsi="宋体"/>
          <w:b/>
          <w:color w:val="auto"/>
          <w:sz w:val="24"/>
          <w:shd w:val="pct10" w:color="auto" w:fill="FFFFFF"/>
        </w:rPr>
        <w:t>（报价部分、技术商务部分需单独装订，分册密封投标），电子文件一份，正本必须用A4幅面纸张打印装订成册（含产品彩页），应编制封面目录、页码，必须用胶装（为永久性、无破坏不可拆的，详见</w:t>
      </w:r>
      <w:r>
        <w:rPr>
          <w:color w:val="auto"/>
        </w:rPr>
        <w:fldChar w:fldCharType="begin"/>
      </w:r>
      <w:r>
        <w:rPr>
          <w:color w:val="auto"/>
        </w:rPr>
        <w:instrText xml:space="preserve"> HYPERLINK \l "附件2：投标文件标准装订范本" </w:instrText>
      </w:r>
      <w:r>
        <w:rPr>
          <w:color w:val="auto"/>
        </w:rPr>
        <w:fldChar w:fldCharType="separate"/>
      </w:r>
      <w:r>
        <w:rPr>
          <w:rStyle w:val="47"/>
          <w:rFonts w:hint="eastAsia" w:ascii="宋体" w:hAnsi="宋体"/>
          <w:b/>
          <w:color w:val="auto"/>
          <w:sz w:val="24"/>
          <w:shd w:val="pct10" w:color="auto" w:fill="FFFFFF"/>
        </w:rPr>
        <w:t>附件3</w:t>
      </w:r>
      <w:r>
        <w:rPr>
          <w:rStyle w:val="47"/>
          <w:rFonts w:hint="eastAsia" w:ascii="宋体" w:hAnsi="宋体"/>
          <w:b/>
          <w:color w:val="auto"/>
          <w:sz w:val="24"/>
          <w:shd w:val="pct10" w:color="auto" w:fill="FFFFFF"/>
        </w:rPr>
        <w:fldChar w:fldCharType="end"/>
      </w:r>
      <w:r>
        <w:rPr>
          <w:rFonts w:hint="eastAsia" w:ascii="宋体" w:hAnsi="宋体"/>
          <w:b/>
          <w:color w:val="auto"/>
          <w:sz w:val="24"/>
          <w:shd w:val="pct10" w:color="auto" w:fill="FFFFFF"/>
        </w:rPr>
        <w:t>）加盖骑缝章或逐页盖章。副本可以用正本的完整复印件并按规定装订成册，并在封面标明“正本”、“副本”字样。正本与副本如有不一致，则以正本为准。（注：若未按要求装订或投标文件技术商务部分出现投标报价，视为无效投标。）</w:t>
      </w:r>
    </w:p>
    <w:p>
      <w:pPr>
        <w:spacing w:line="360" w:lineRule="auto"/>
        <w:ind w:firstLine="354" w:firstLineChars="147"/>
        <w:rPr>
          <w:rFonts w:ascii="宋体" w:hAnsi="宋体"/>
          <w:b/>
          <w:color w:val="auto"/>
          <w:sz w:val="24"/>
          <w:shd w:val="pct10" w:color="auto" w:fill="FFFFFF"/>
        </w:rPr>
      </w:pPr>
      <w:r>
        <w:rPr>
          <w:rFonts w:ascii="宋体" w:hAnsi="宋体"/>
          <w:b/>
          <w:color w:val="auto"/>
          <w:sz w:val="24"/>
          <w:shd w:val="pct10" w:color="auto" w:fill="FFFFFF"/>
        </w:rPr>
        <w:t>电子文件，</w:t>
      </w:r>
      <w:r>
        <w:rPr>
          <w:rFonts w:hint="eastAsia" w:ascii="宋体" w:hAnsi="宋体"/>
          <w:b/>
          <w:color w:val="auto"/>
          <w:sz w:val="24"/>
          <w:shd w:val="pct10" w:color="auto" w:fill="FFFFFF"/>
        </w:rPr>
        <w:t>投标人</w:t>
      </w:r>
      <w:r>
        <w:rPr>
          <w:rFonts w:ascii="宋体" w:hAnsi="宋体"/>
          <w:b/>
          <w:color w:val="auto"/>
          <w:sz w:val="24"/>
          <w:shd w:val="pct10" w:color="auto" w:fill="FFFFFF"/>
        </w:rPr>
        <w:t>必须将加盖红色公章的</w:t>
      </w:r>
      <w:r>
        <w:rPr>
          <w:rFonts w:hint="eastAsia" w:ascii="宋体" w:hAnsi="宋体"/>
          <w:b/>
          <w:color w:val="auto"/>
          <w:sz w:val="24"/>
          <w:shd w:val="pct10" w:color="auto" w:fill="FFFFFF"/>
        </w:rPr>
        <w:t>投标</w:t>
      </w:r>
      <w:r>
        <w:rPr>
          <w:rFonts w:ascii="宋体" w:hAnsi="宋体"/>
          <w:b/>
          <w:color w:val="auto"/>
          <w:sz w:val="24"/>
          <w:shd w:val="pct10" w:color="auto" w:fill="FFFFFF"/>
        </w:rPr>
        <w:t>文件正本全部内容扫描成电子文件（</w:t>
      </w:r>
      <w:r>
        <w:rPr>
          <w:rFonts w:hint="eastAsia" w:ascii="宋体" w:hAnsi="宋体"/>
          <w:b/>
          <w:color w:val="auto"/>
          <w:sz w:val="24"/>
          <w:highlight w:val="yellow"/>
          <w:shd w:val="pct10" w:color="auto" w:fill="FFFFFF"/>
        </w:rPr>
        <w:t>U盘</w:t>
      </w:r>
      <w:r>
        <w:rPr>
          <w:rFonts w:ascii="宋体" w:hAnsi="宋体"/>
          <w:b/>
          <w:color w:val="auto"/>
          <w:sz w:val="24"/>
          <w:highlight w:val="yellow"/>
          <w:shd w:val="pct10" w:color="auto" w:fill="FFFFFF"/>
        </w:rPr>
        <w:t>，无病毒</w:t>
      </w:r>
      <w:r>
        <w:rPr>
          <w:rFonts w:ascii="宋体" w:hAnsi="宋体"/>
          <w:b/>
          <w:color w:val="auto"/>
          <w:sz w:val="24"/>
          <w:shd w:val="pct10" w:color="auto" w:fill="FFFFFF"/>
        </w:rPr>
        <w:t>），与</w:t>
      </w:r>
      <w:r>
        <w:rPr>
          <w:rFonts w:hint="eastAsia" w:ascii="宋体" w:hAnsi="宋体"/>
          <w:b/>
          <w:color w:val="auto"/>
          <w:sz w:val="24"/>
          <w:shd w:val="pct10" w:color="auto" w:fill="FFFFFF"/>
        </w:rPr>
        <w:t>投标</w:t>
      </w:r>
      <w:r>
        <w:rPr>
          <w:rFonts w:ascii="宋体" w:hAnsi="宋体"/>
          <w:b/>
          <w:color w:val="auto"/>
          <w:sz w:val="24"/>
          <w:shd w:val="pct10" w:color="auto" w:fill="FFFFFF"/>
        </w:rPr>
        <w:t>文件正本一起提交，其中所有文件不做压缩处理、不设密码。未按以上格式完成并提交，按无效投标处理。</w:t>
      </w:r>
    </w:p>
    <w:p>
      <w:pPr>
        <w:spacing w:line="360" w:lineRule="auto"/>
        <w:ind w:firstLine="480"/>
        <w:rPr>
          <w:rFonts w:ascii="宋体" w:hAnsi="宋体"/>
          <w:b/>
          <w:color w:val="auto"/>
          <w:sz w:val="24"/>
        </w:rPr>
      </w:pPr>
      <w:r>
        <w:rPr>
          <w:rFonts w:hint="eastAsia" w:ascii="宋体" w:hAnsi="宋体"/>
          <w:b/>
          <w:color w:val="auto"/>
          <w:sz w:val="24"/>
        </w:rPr>
        <w:t>13.2</w:t>
      </w:r>
      <w:r>
        <w:rPr>
          <w:rFonts w:hint="eastAsia" w:ascii="宋体" w:hAnsi="宋体"/>
          <w:b/>
          <w:color w:val="auto"/>
          <w:sz w:val="24"/>
          <w:shd w:val="pct10" w:color="auto" w:fill="FFFFFF"/>
        </w:rPr>
        <w:t>投标文件应由投标人的法定代表人或者其授权代表签字并加盖公章，如由后者签字，应提供“法定代表人授权委托书”，否则视为无效投标。</w:t>
      </w:r>
    </w:p>
    <w:p>
      <w:pPr>
        <w:spacing w:line="360" w:lineRule="auto"/>
        <w:ind w:firstLine="480"/>
        <w:rPr>
          <w:rFonts w:ascii="宋体" w:hAnsi="宋体"/>
          <w:color w:val="auto"/>
          <w:sz w:val="24"/>
        </w:rPr>
      </w:pPr>
      <w:r>
        <w:rPr>
          <w:rFonts w:hint="eastAsia" w:ascii="宋体" w:hAnsi="宋体"/>
          <w:color w:val="auto"/>
          <w:sz w:val="24"/>
        </w:rPr>
        <w:t>13.3除非有另外的规定或许可，投标使用货币为人民币。</w:t>
      </w:r>
    </w:p>
    <w:p>
      <w:pPr>
        <w:spacing w:line="360" w:lineRule="auto"/>
        <w:ind w:firstLine="480"/>
        <w:rPr>
          <w:rFonts w:ascii="宋体" w:hAnsi="宋体"/>
          <w:color w:val="auto"/>
          <w:sz w:val="24"/>
        </w:rPr>
      </w:pPr>
      <w:r>
        <w:rPr>
          <w:rFonts w:hint="eastAsia" w:ascii="宋体" w:hAnsi="宋体"/>
          <w:color w:val="auto"/>
          <w:sz w:val="24"/>
        </w:rPr>
        <w:t xml:space="preserve">13.4投标人应提交证明其拟供货物符合招标文件要求的技术响应文件，该文件可以是文字资料、图纸和数据，并须提供货物主要技术性能的详细描述。                                  </w:t>
      </w:r>
    </w:p>
    <w:p>
      <w:pPr>
        <w:spacing w:line="360" w:lineRule="auto"/>
        <w:ind w:firstLine="480"/>
        <w:rPr>
          <w:rFonts w:ascii="宋体" w:hAnsi="宋体"/>
          <w:color w:val="auto"/>
          <w:sz w:val="24"/>
        </w:rPr>
      </w:pPr>
      <w:r>
        <w:rPr>
          <w:rFonts w:ascii="宋体" w:hAnsi="宋体"/>
          <w:color w:val="auto"/>
          <w:sz w:val="24"/>
        </w:rPr>
        <w:t>1</w:t>
      </w:r>
      <w:r>
        <w:rPr>
          <w:rFonts w:hint="eastAsia" w:ascii="宋体" w:hAnsi="宋体"/>
          <w:color w:val="auto"/>
          <w:sz w:val="24"/>
        </w:rPr>
        <w:t>3</w:t>
      </w:r>
      <w:r>
        <w:rPr>
          <w:rFonts w:ascii="宋体" w:hAnsi="宋体"/>
          <w:color w:val="auto"/>
          <w:sz w:val="24"/>
        </w:rPr>
        <w:t xml:space="preserve">.5 </w:t>
      </w:r>
      <w:r>
        <w:rPr>
          <w:rFonts w:hint="eastAsia" w:ascii="宋体" w:hAnsi="宋体"/>
          <w:color w:val="auto"/>
          <w:sz w:val="24"/>
        </w:rPr>
        <w:t>投标文件的正本和全部副本均应使用不能擦去的墨料或墨水打印、书写或复印，并由法定代表人或其授权代表签署，盖投标人公章。</w:t>
      </w:r>
    </w:p>
    <w:p>
      <w:pPr>
        <w:spacing w:line="360" w:lineRule="auto"/>
        <w:ind w:firstLine="480"/>
        <w:rPr>
          <w:rFonts w:ascii="宋体" w:hAnsi="宋体"/>
          <w:color w:val="auto"/>
          <w:sz w:val="24"/>
        </w:rPr>
      </w:pPr>
      <w:r>
        <w:rPr>
          <w:rFonts w:ascii="宋体" w:hAnsi="宋体"/>
          <w:color w:val="auto"/>
          <w:sz w:val="24"/>
        </w:rPr>
        <w:t>1</w:t>
      </w:r>
      <w:r>
        <w:rPr>
          <w:rFonts w:hint="eastAsia" w:ascii="宋体" w:hAnsi="宋体"/>
          <w:color w:val="auto"/>
          <w:sz w:val="24"/>
        </w:rPr>
        <w:t>3</w:t>
      </w:r>
      <w:r>
        <w:rPr>
          <w:rFonts w:ascii="宋体" w:hAnsi="宋体"/>
          <w:color w:val="auto"/>
          <w:sz w:val="24"/>
        </w:rPr>
        <w:t>.6</w:t>
      </w:r>
      <w:r>
        <w:rPr>
          <w:rFonts w:hint="eastAsia" w:ascii="宋体" w:hAnsi="宋体"/>
          <w:color w:val="auto"/>
          <w:sz w:val="24"/>
        </w:rPr>
        <w:t xml:space="preserve">全套投标文件应无涂改和行间插字，除非这些改动是根据招标代理机构的指示进行的，或者是为改正投标人造成的必须修改的错误而进行的。有改动时，修改处应由授权代表签署证明或加盖校正章。 </w:t>
      </w:r>
    </w:p>
    <w:p>
      <w:pPr>
        <w:spacing w:line="360" w:lineRule="auto"/>
        <w:ind w:firstLine="480"/>
        <w:rPr>
          <w:rFonts w:ascii="宋体" w:hAnsi="宋体"/>
          <w:color w:val="auto"/>
          <w:sz w:val="24"/>
        </w:rPr>
      </w:pPr>
      <w:r>
        <w:rPr>
          <w:rFonts w:hint="eastAsia" w:ascii="宋体" w:hAnsi="宋体"/>
          <w:color w:val="auto"/>
          <w:sz w:val="24"/>
        </w:rPr>
        <w:t>13.7未按本须知规定的格式填写投标文件、投标文件字迹模糊不清的，其投标将被拒绝。</w:t>
      </w:r>
    </w:p>
    <w:p>
      <w:pPr>
        <w:spacing w:line="360" w:lineRule="auto"/>
        <w:ind w:firstLine="480"/>
        <w:rPr>
          <w:rFonts w:ascii="宋体" w:hAnsi="宋体"/>
          <w:color w:val="auto"/>
          <w:sz w:val="24"/>
        </w:rPr>
      </w:pPr>
      <w:r>
        <w:rPr>
          <w:rFonts w:hint="eastAsia" w:ascii="宋体" w:hAnsi="宋体"/>
          <w:b/>
          <w:color w:val="auto"/>
          <w:sz w:val="24"/>
        </w:rPr>
        <w:t>13.8</w:t>
      </w:r>
      <w:r>
        <w:rPr>
          <w:rFonts w:hint="eastAsia" w:ascii="宋体" w:hAnsi="宋体"/>
          <w:b/>
          <w:color w:val="auto"/>
          <w:sz w:val="24"/>
          <w:shd w:val="pct10" w:color="auto" w:fill="FFFFFF"/>
        </w:rPr>
        <w:t>投标文件正本中所有资格证明文件复印件须注明“与原件一致”并加盖投标人公章，否则视为无效投标。</w:t>
      </w:r>
    </w:p>
    <w:p>
      <w:pPr>
        <w:spacing w:line="360" w:lineRule="auto"/>
        <w:jc w:val="center"/>
        <w:outlineLvl w:val="1"/>
        <w:rPr>
          <w:rFonts w:ascii="宋体" w:hAnsi="宋体"/>
          <w:color w:val="auto"/>
          <w:sz w:val="24"/>
        </w:rPr>
      </w:pPr>
      <w:bookmarkStart w:id="30" w:name="_Toc277779954"/>
      <w:bookmarkStart w:id="31" w:name="_Toc352224152"/>
      <w:r>
        <w:rPr>
          <w:rFonts w:hint="eastAsia" w:ascii="宋体" w:hAnsi="宋体"/>
          <w:color w:val="auto"/>
          <w:sz w:val="24"/>
        </w:rPr>
        <w:t>四、 投标文件的提交</w:t>
      </w:r>
      <w:bookmarkEnd w:id="30"/>
      <w:bookmarkEnd w:id="31"/>
    </w:p>
    <w:p>
      <w:pPr>
        <w:spacing w:line="360" w:lineRule="auto"/>
        <w:rPr>
          <w:rFonts w:ascii="宋体" w:hAnsi="宋体"/>
          <w:color w:val="auto"/>
          <w:sz w:val="24"/>
        </w:rPr>
      </w:pPr>
      <w:r>
        <w:rPr>
          <w:rFonts w:hint="eastAsia" w:ascii="宋体" w:hAnsi="宋体"/>
          <w:color w:val="auto"/>
          <w:sz w:val="24"/>
        </w:rPr>
        <w:t>14.投标文件的密封、标记和递交</w:t>
      </w:r>
    </w:p>
    <w:p>
      <w:pPr>
        <w:spacing w:line="360" w:lineRule="auto"/>
        <w:ind w:firstLine="480"/>
        <w:rPr>
          <w:rFonts w:ascii="宋体" w:hAnsi="宋体"/>
          <w:color w:val="auto"/>
          <w:sz w:val="24"/>
        </w:rPr>
      </w:pPr>
      <w:r>
        <w:rPr>
          <w:rFonts w:hint="eastAsia" w:ascii="宋体" w:hAnsi="宋体"/>
          <w:color w:val="auto"/>
          <w:sz w:val="24"/>
        </w:rPr>
        <w:t>14.1</w:t>
      </w:r>
      <w:r>
        <w:rPr>
          <w:rFonts w:hint="eastAsia" w:ascii="宋体" w:hAnsi="宋体"/>
          <w:b/>
          <w:color w:val="auto"/>
          <w:sz w:val="24"/>
        </w:rPr>
        <w:t>投标文件分为报价部分和技术商务部分，两部分投标文件应分别单独装订，分册密封投标，否则为无效投标。</w:t>
      </w:r>
      <w:r>
        <w:rPr>
          <w:rFonts w:hint="eastAsia" w:ascii="宋体" w:hAnsi="宋体"/>
          <w:color w:val="auto"/>
          <w:sz w:val="24"/>
        </w:rPr>
        <w:t>投标人应将投标文件正本和全部副本分别用信封密封，并标明招标编号、投标人名称、投标货物名称及“正本”或“副本”字样。投标文件未密封将导致投标被拒绝。</w:t>
      </w:r>
    </w:p>
    <w:p>
      <w:pPr>
        <w:spacing w:line="360" w:lineRule="auto"/>
        <w:rPr>
          <w:rFonts w:ascii="宋体" w:hAnsi="宋体"/>
          <w:color w:val="auto"/>
          <w:sz w:val="24"/>
        </w:rPr>
      </w:pPr>
      <w:r>
        <w:rPr>
          <w:rFonts w:hint="eastAsia" w:ascii="宋体" w:hAnsi="宋体"/>
          <w:color w:val="auto"/>
          <w:sz w:val="24"/>
        </w:rPr>
        <w:t xml:space="preserve">   14.2 每一信封密封处应注明</w:t>
      </w:r>
      <w:r>
        <w:rPr>
          <w:rFonts w:hint="eastAsia" w:ascii="宋体" w:hAnsi="宋体"/>
          <w:color w:val="auto"/>
          <w:sz w:val="24"/>
          <w:highlight w:val="yellow"/>
        </w:rPr>
        <w:t>“于</w:t>
      </w:r>
      <w:r>
        <w:rPr>
          <w:rFonts w:hint="eastAsia" w:ascii="宋体" w:hAnsi="宋体"/>
          <w:color w:val="auto"/>
          <w:sz w:val="24"/>
          <w:szCs w:val="22"/>
          <w:highlight w:val="yellow"/>
          <w:u w:val="single"/>
        </w:rPr>
        <w:t>2023年   月   日上午09：00（北京</w:t>
      </w:r>
      <w:r>
        <w:rPr>
          <w:rFonts w:hint="eastAsia" w:ascii="宋体" w:hAnsi="宋体"/>
          <w:color w:val="auto"/>
          <w:sz w:val="24"/>
          <w:highlight w:val="yellow"/>
          <w:u w:val="single"/>
        </w:rPr>
        <w:t>时间）</w:t>
      </w:r>
      <w:r>
        <w:rPr>
          <w:rFonts w:hint="eastAsia" w:ascii="宋体" w:hAnsi="宋体"/>
          <w:color w:val="auto"/>
          <w:sz w:val="24"/>
          <w:highlight w:val="yellow"/>
        </w:rPr>
        <w:t>（</w:t>
      </w:r>
      <w:r>
        <w:rPr>
          <w:rFonts w:hint="eastAsia" w:ascii="宋体" w:hAnsi="宋体"/>
          <w:color w:val="auto"/>
          <w:sz w:val="24"/>
        </w:rPr>
        <w:t>指招标邀请中规定的开标日期及时间）之前不准启封”的字样，并加盖投标人公章。</w:t>
      </w:r>
    </w:p>
    <w:p>
      <w:pPr>
        <w:spacing w:line="360" w:lineRule="auto"/>
        <w:ind w:firstLine="480"/>
        <w:rPr>
          <w:rFonts w:ascii="宋体" w:hAnsi="宋体"/>
          <w:color w:val="auto"/>
          <w:sz w:val="24"/>
        </w:rPr>
      </w:pPr>
      <w:r>
        <w:rPr>
          <w:rFonts w:hint="eastAsia" w:ascii="宋体" w:hAnsi="宋体"/>
          <w:color w:val="auto"/>
          <w:sz w:val="24"/>
        </w:rPr>
        <w:t>14.3投标文件应由专人送交，投标方应将投标文件按照本须知第14.1条至第14.2条的规定进行密封和标记后，按投标人须知前附表注明的地址送至接收人。</w:t>
      </w:r>
    </w:p>
    <w:p>
      <w:pPr>
        <w:spacing w:line="360" w:lineRule="auto"/>
        <w:ind w:firstLine="480"/>
        <w:rPr>
          <w:rFonts w:ascii="宋体" w:hAnsi="宋体"/>
          <w:color w:val="auto"/>
          <w:sz w:val="24"/>
        </w:rPr>
      </w:pPr>
      <w:r>
        <w:rPr>
          <w:rFonts w:hint="eastAsia" w:ascii="宋体" w:hAnsi="宋体"/>
          <w:color w:val="auto"/>
          <w:sz w:val="24"/>
        </w:rPr>
        <w:t>14.4如果未按上述规定进行密封和标记，招标代理机构将不承担由此造成的对投标文件的误投或提前拆封的责任。</w:t>
      </w:r>
    </w:p>
    <w:p>
      <w:pPr>
        <w:spacing w:line="360" w:lineRule="auto"/>
        <w:ind w:firstLine="480"/>
        <w:rPr>
          <w:rFonts w:ascii="宋体" w:hAnsi="宋体"/>
          <w:color w:val="auto"/>
          <w:sz w:val="24"/>
        </w:rPr>
      </w:pPr>
      <w:r>
        <w:rPr>
          <w:rFonts w:hint="eastAsia" w:ascii="宋体" w:hAnsi="宋体"/>
          <w:color w:val="auto"/>
          <w:sz w:val="24"/>
        </w:rPr>
        <w:t>14.5投标文件应在投标邀请中规定的截止时间前送达，迟到的投标文件为无效投标文件, 将被拒收。</w:t>
      </w:r>
    </w:p>
    <w:p>
      <w:pPr>
        <w:spacing w:line="360" w:lineRule="auto"/>
        <w:ind w:firstLine="480"/>
        <w:rPr>
          <w:rFonts w:ascii="宋体" w:hAnsi="宋体"/>
          <w:color w:val="auto"/>
          <w:sz w:val="24"/>
        </w:rPr>
      </w:pPr>
      <w:r>
        <w:rPr>
          <w:rFonts w:hint="eastAsia" w:ascii="宋体" w:hAnsi="宋体"/>
          <w:color w:val="auto"/>
          <w:sz w:val="24"/>
        </w:rPr>
        <w:t>14.6投标人在投标截止时间前，可以对所提交的投标文件进行修改或者撤回，并书面通知招标代理机构。修改的内容和撤回通知应当按本须知要求签署、盖章、密封，并作为投标文件的组成部分。</w:t>
      </w:r>
    </w:p>
    <w:p>
      <w:pPr>
        <w:spacing w:line="360" w:lineRule="auto"/>
        <w:ind w:firstLine="480"/>
        <w:rPr>
          <w:rFonts w:ascii="宋体" w:hAnsi="宋体"/>
          <w:color w:val="auto"/>
          <w:sz w:val="24"/>
        </w:rPr>
      </w:pPr>
      <w:r>
        <w:rPr>
          <w:rFonts w:hint="eastAsia" w:ascii="宋体" w:hAnsi="宋体"/>
          <w:color w:val="auto"/>
          <w:sz w:val="24"/>
        </w:rPr>
        <w:t>14.7投标人在投标截止期后不得修改、撤回投标文件。投标人在投标截止期后修改投标文件的，其投标被拒绝。</w:t>
      </w:r>
    </w:p>
    <w:p>
      <w:pPr>
        <w:spacing w:line="360" w:lineRule="auto"/>
        <w:ind w:firstLine="480"/>
        <w:rPr>
          <w:rFonts w:ascii="宋体" w:hAnsi="宋体"/>
          <w:color w:val="auto"/>
          <w:sz w:val="24"/>
        </w:rPr>
      </w:pPr>
      <w:r>
        <w:rPr>
          <w:rFonts w:hint="eastAsia" w:ascii="宋体" w:hAnsi="宋体"/>
          <w:color w:val="auto"/>
          <w:sz w:val="24"/>
        </w:rPr>
        <w:t>14.8投标截止时间结束后参加投标的投标人不足三家的，本次招标程序终止，除采购任务取消情形外，招标采购单位将依法重新组织招标或者采取其他方式采购。</w:t>
      </w:r>
    </w:p>
    <w:p>
      <w:pPr>
        <w:spacing w:line="360" w:lineRule="auto"/>
        <w:jc w:val="center"/>
        <w:outlineLvl w:val="1"/>
        <w:rPr>
          <w:rFonts w:ascii="宋体" w:hAnsi="宋体"/>
          <w:color w:val="auto"/>
          <w:sz w:val="24"/>
        </w:rPr>
      </w:pPr>
      <w:bookmarkStart w:id="32" w:name="_Toc277779955"/>
      <w:bookmarkStart w:id="33" w:name="_Toc352224153"/>
      <w:r>
        <w:rPr>
          <w:rFonts w:hint="eastAsia" w:ascii="宋体" w:hAnsi="宋体"/>
          <w:color w:val="auto"/>
          <w:sz w:val="24"/>
        </w:rPr>
        <w:t>五、投标文件的评估和比较</w:t>
      </w:r>
      <w:bookmarkEnd w:id="32"/>
      <w:bookmarkEnd w:id="33"/>
    </w:p>
    <w:p>
      <w:pPr>
        <w:spacing w:line="360" w:lineRule="auto"/>
        <w:rPr>
          <w:rFonts w:ascii="宋体" w:hAnsi="宋体"/>
          <w:color w:val="auto"/>
          <w:sz w:val="24"/>
        </w:rPr>
      </w:pPr>
      <w:r>
        <w:rPr>
          <w:rFonts w:hint="eastAsia" w:ascii="宋体" w:hAnsi="宋体"/>
          <w:color w:val="auto"/>
          <w:sz w:val="24"/>
        </w:rPr>
        <w:t>15．开标、评标时间</w:t>
      </w:r>
    </w:p>
    <w:p>
      <w:pPr>
        <w:spacing w:line="360" w:lineRule="auto"/>
        <w:ind w:firstLine="480"/>
        <w:rPr>
          <w:rFonts w:ascii="宋体" w:hAnsi="宋体"/>
          <w:color w:val="auto"/>
          <w:sz w:val="24"/>
        </w:rPr>
      </w:pPr>
      <w:r>
        <w:rPr>
          <w:rFonts w:hint="eastAsia" w:ascii="宋体" w:hAnsi="宋体"/>
          <w:color w:val="auto"/>
          <w:sz w:val="24"/>
        </w:rPr>
        <w:t>15.1 在投标人须知前附表中所规定的时间、地点开标。</w:t>
      </w:r>
    </w:p>
    <w:p>
      <w:pPr>
        <w:spacing w:line="360" w:lineRule="auto"/>
        <w:ind w:firstLine="480" w:firstLineChars="200"/>
        <w:rPr>
          <w:rFonts w:ascii="宋体" w:hAnsi="宋体"/>
          <w:color w:val="auto"/>
          <w:sz w:val="24"/>
        </w:rPr>
      </w:pPr>
      <w:r>
        <w:rPr>
          <w:rFonts w:hint="eastAsia" w:ascii="宋体" w:hAnsi="宋体"/>
          <w:color w:val="auto"/>
          <w:sz w:val="24"/>
        </w:rPr>
        <w:t>15.2开标由招标代理机构主持，采购人、投标人和有关方面代表参加。所有投标人应派</w:t>
      </w:r>
      <w:r>
        <w:rPr>
          <w:rFonts w:ascii="宋体" w:hAnsi="宋体"/>
          <w:color w:val="auto"/>
          <w:sz w:val="24"/>
        </w:rPr>
        <w:t>授权代表</w:t>
      </w:r>
      <w:r>
        <w:rPr>
          <w:rFonts w:hint="eastAsia" w:ascii="宋体" w:hAnsi="宋体"/>
          <w:color w:val="auto"/>
          <w:sz w:val="24"/>
        </w:rPr>
        <w:t>参加</w:t>
      </w:r>
      <w:r>
        <w:rPr>
          <w:rFonts w:ascii="宋体" w:hAnsi="宋体"/>
          <w:color w:val="auto"/>
          <w:sz w:val="24"/>
        </w:rPr>
        <w:t>开标会，</w:t>
      </w:r>
      <w:r>
        <w:rPr>
          <w:rFonts w:hint="eastAsia" w:ascii="宋体" w:hAnsi="宋体"/>
          <w:color w:val="auto"/>
          <w:sz w:val="24"/>
        </w:rPr>
        <w:t>并签到。</w:t>
      </w:r>
    </w:p>
    <w:p>
      <w:pPr>
        <w:spacing w:line="360" w:lineRule="auto"/>
        <w:ind w:firstLine="480" w:firstLineChars="200"/>
        <w:rPr>
          <w:rFonts w:ascii="宋体" w:hAnsi="宋体"/>
          <w:color w:val="auto"/>
          <w:sz w:val="24"/>
        </w:rPr>
      </w:pPr>
      <w:r>
        <w:rPr>
          <w:rFonts w:hint="eastAsia" w:ascii="宋体" w:hAnsi="宋体"/>
          <w:color w:val="auto"/>
          <w:sz w:val="24"/>
        </w:rPr>
        <w:t>15.3 开标时，由投标人监督代表和授权代表检查投标文件的密封情况，对符合密封要求的投标文件按照提交投标文件时间的先后顺序（或者逆顺序）当场逐一拆封，由开标会主持人宣唱并记录各投标人的报价，唱标内容为“报价一览表”内容。招标代理机构对唱标内容作开标记录，由投标人代表签字确认。</w:t>
      </w:r>
    </w:p>
    <w:p>
      <w:pPr>
        <w:tabs>
          <w:tab w:val="left" w:pos="3330"/>
        </w:tabs>
        <w:spacing w:line="360" w:lineRule="auto"/>
        <w:rPr>
          <w:rFonts w:ascii="宋体" w:hAnsi="宋体"/>
          <w:color w:val="auto"/>
          <w:sz w:val="24"/>
        </w:rPr>
      </w:pPr>
      <w:r>
        <w:rPr>
          <w:rFonts w:hint="eastAsia" w:ascii="宋体" w:hAnsi="宋体"/>
          <w:color w:val="auto"/>
          <w:sz w:val="24"/>
        </w:rPr>
        <w:t>16．评标委员会</w:t>
      </w:r>
    </w:p>
    <w:p>
      <w:pPr>
        <w:spacing w:line="360" w:lineRule="auto"/>
        <w:ind w:firstLine="240" w:firstLineChars="100"/>
        <w:rPr>
          <w:rFonts w:ascii="宋体" w:hAnsi="宋体"/>
          <w:color w:val="auto"/>
          <w:sz w:val="24"/>
        </w:rPr>
      </w:pPr>
      <w:r>
        <w:rPr>
          <w:rFonts w:hint="eastAsia" w:ascii="宋体" w:hAnsi="宋体"/>
          <w:color w:val="auto"/>
          <w:sz w:val="24"/>
        </w:rPr>
        <w:t xml:space="preserve">  16.1招标代理机构根据招标货物和服务的特点依法组建评标委员会。评标委员会由技术、经济、法律方面的专家和采购人代表组成。成员为</w:t>
      </w:r>
      <w:r>
        <w:rPr>
          <w:rFonts w:hint="eastAsia" w:ascii="宋体" w:hAnsi="宋体"/>
          <w:color w:val="auto"/>
          <w:sz w:val="24"/>
          <w:lang w:val="en-US" w:eastAsia="zh-CN"/>
        </w:rPr>
        <w:t>7</w:t>
      </w:r>
      <w:r>
        <w:rPr>
          <w:rFonts w:hint="eastAsia" w:ascii="宋体" w:hAnsi="宋体"/>
          <w:color w:val="auto"/>
          <w:sz w:val="24"/>
        </w:rPr>
        <w:t>人单数组成，专家不能少于三分之二</w:t>
      </w:r>
      <w:r>
        <w:rPr>
          <w:rFonts w:hint="eastAsia" w:ascii="宋体" w:hAnsi="宋体"/>
          <w:color w:val="auto"/>
          <w:sz w:val="24"/>
          <w:lang w:eastAsia="zh-CN"/>
        </w:rPr>
        <w:t>；专家由福建省政府采购评审专家库产生</w:t>
      </w:r>
      <w:r>
        <w:rPr>
          <w:rFonts w:hint="eastAsia" w:ascii="宋体" w:hAnsi="宋体"/>
          <w:color w:val="auto"/>
          <w:sz w:val="24"/>
        </w:rPr>
        <w:t>。在开标后的适当时间里由评标委员会将对投标文件进行审查、质疑、评估和比较，并做出授予合同的建议。</w:t>
      </w:r>
    </w:p>
    <w:p>
      <w:pPr>
        <w:spacing w:line="360" w:lineRule="auto"/>
        <w:rPr>
          <w:rFonts w:ascii="宋体" w:hAnsi="宋体"/>
          <w:color w:val="auto"/>
          <w:sz w:val="24"/>
        </w:rPr>
      </w:pPr>
      <w:r>
        <w:rPr>
          <w:rFonts w:hint="eastAsia" w:ascii="宋体" w:hAnsi="宋体"/>
          <w:color w:val="auto"/>
          <w:sz w:val="24"/>
        </w:rPr>
        <w:t>17</w:t>
      </w:r>
      <w:r>
        <w:rPr>
          <w:rFonts w:ascii="宋体" w:hAnsi="宋体"/>
          <w:color w:val="auto"/>
          <w:sz w:val="24"/>
        </w:rPr>
        <w:t xml:space="preserve">. </w:t>
      </w:r>
      <w:r>
        <w:rPr>
          <w:rFonts w:hint="eastAsia" w:ascii="宋体" w:hAnsi="宋体"/>
          <w:color w:val="auto"/>
          <w:sz w:val="24"/>
        </w:rPr>
        <w:t>投标文件的初审</w:t>
      </w:r>
    </w:p>
    <w:p>
      <w:pPr>
        <w:pStyle w:val="29"/>
        <w:spacing w:line="360" w:lineRule="auto"/>
        <w:ind w:firstLine="480"/>
        <w:rPr>
          <w:rFonts w:ascii="宋体" w:hAnsi="宋体" w:eastAsia="宋体"/>
          <w:b w:val="0"/>
          <w:color w:val="auto"/>
        </w:rPr>
      </w:pPr>
      <w:r>
        <w:rPr>
          <w:rFonts w:hint="eastAsia" w:ascii="宋体" w:hAnsi="宋体" w:eastAsia="宋体"/>
          <w:b w:val="0"/>
          <w:color w:val="auto"/>
        </w:rPr>
        <w:t>对所有投标人的评估，都采用相同的程序和标准。评议过程将严格按照招标文件的要求和条件进行。</w:t>
      </w:r>
    </w:p>
    <w:p>
      <w:pPr>
        <w:spacing w:line="360" w:lineRule="auto"/>
        <w:ind w:firstLine="480" w:firstLineChars="200"/>
        <w:rPr>
          <w:rFonts w:ascii="宋体" w:hAnsi="宋体"/>
          <w:color w:val="auto"/>
          <w:sz w:val="24"/>
        </w:rPr>
      </w:pPr>
      <w:r>
        <w:rPr>
          <w:rFonts w:hint="eastAsia" w:ascii="宋体" w:hAnsi="宋体"/>
          <w:color w:val="auto"/>
          <w:sz w:val="24"/>
        </w:rPr>
        <w:t>有关投标文件的审查、澄清、评估和比较以及推荐中标候选人的一切情况都不得透露给任一投标人或与上述评标工作无关的人员。</w:t>
      </w:r>
    </w:p>
    <w:p>
      <w:pPr>
        <w:spacing w:line="360" w:lineRule="auto"/>
        <w:ind w:firstLine="480" w:firstLineChars="200"/>
        <w:rPr>
          <w:rFonts w:ascii="宋体" w:hAnsi="宋体"/>
          <w:color w:val="auto"/>
          <w:sz w:val="24"/>
        </w:rPr>
      </w:pPr>
      <w:r>
        <w:rPr>
          <w:rFonts w:hint="eastAsia" w:ascii="宋体" w:hAnsi="宋体"/>
          <w:color w:val="auto"/>
          <w:sz w:val="24"/>
        </w:rPr>
        <w:t>投标人任何试图影响评标委员会对投标文件的评估、比较或者推荐候选人的行为，都将导致其投标被拒绝，并被没收投标保证金。</w:t>
      </w:r>
    </w:p>
    <w:p>
      <w:pPr>
        <w:spacing w:line="360" w:lineRule="auto"/>
        <w:ind w:firstLine="480" w:firstLineChars="200"/>
        <w:rPr>
          <w:rFonts w:ascii="宋体" w:hAnsi="宋体"/>
          <w:color w:val="auto"/>
          <w:sz w:val="24"/>
        </w:rPr>
      </w:pPr>
      <w:r>
        <w:rPr>
          <w:rFonts w:hint="eastAsia" w:ascii="宋体" w:hAnsi="宋体"/>
          <w:color w:val="auto"/>
          <w:sz w:val="24"/>
        </w:rPr>
        <w:t>17.1评标委员会将对投标文件进行检查，以确定投标文件是否完整、有无计算上的错误、是否提交了投标保证金、文件是否已正确签署。</w:t>
      </w:r>
    </w:p>
    <w:p>
      <w:pPr>
        <w:spacing w:line="360" w:lineRule="auto"/>
        <w:ind w:firstLine="480" w:firstLineChars="200"/>
        <w:rPr>
          <w:rFonts w:ascii="宋体" w:hAnsi="宋体"/>
          <w:color w:val="auto"/>
          <w:sz w:val="24"/>
        </w:rPr>
      </w:pPr>
      <w:r>
        <w:rPr>
          <w:rFonts w:hint="eastAsia" w:ascii="宋体" w:hAnsi="宋体"/>
          <w:color w:val="auto"/>
          <w:sz w:val="24"/>
        </w:rPr>
        <w:t>17.2 算术错误将按以下方法更正：</w:t>
      </w:r>
    </w:p>
    <w:p>
      <w:pPr>
        <w:spacing w:line="360" w:lineRule="auto"/>
        <w:ind w:firstLine="480" w:firstLineChars="200"/>
        <w:rPr>
          <w:rFonts w:ascii="宋体" w:hAnsi="宋体"/>
          <w:color w:val="auto"/>
          <w:sz w:val="24"/>
        </w:rPr>
      </w:pPr>
      <w:r>
        <w:rPr>
          <w:rFonts w:hint="eastAsia" w:ascii="宋体" w:hAnsi="宋体"/>
          <w:color w:val="auto"/>
          <w:sz w:val="24"/>
        </w:rPr>
        <w:t>(1)投标文件中开标一览表(报价表)内容与投标文件中明细表内容不一致的，以开标一览表(报价表)为准。</w:t>
      </w:r>
    </w:p>
    <w:p>
      <w:pPr>
        <w:spacing w:line="360" w:lineRule="auto"/>
        <w:ind w:firstLine="480" w:firstLineChars="200"/>
        <w:rPr>
          <w:rFonts w:ascii="宋体" w:hAnsi="宋体"/>
          <w:color w:val="auto"/>
          <w:sz w:val="24"/>
        </w:rPr>
      </w:pPr>
      <w:r>
        <w:rPr>
          <w:rFonts w:hint="eastAsia" w:ascii="宋体" w:hAnsi="宋体"/>
          <w:color w:val="auto"/>
          <w:sz w:val="24"/>
        </w:rPr>
        <w:t>(2)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auto"/>
        <w:ind w:firstLine="480" w:firstLineChars="200"/>
        <w:rPr>
          <w:rFonts w:ascii="宋体" w:hAnsi="宋体"/>
          <w:color w:val="auto"/>
          <w:sz w:val="24"/>
        </w:rPr>
      </w:pPr>
      <w:r>
        <w:rPr>
          <w:rFonts w:hint="eastAsia" w:ascii="宋体" w:hAnsi="宋体"/>
          <w:color w:val="auto"/>
          <w:sz w:val="24"/>
        </w:rPr>
        <w:t>如果投标人不接受按上述方法对投标文件中的算术错误进行更正，其投标将被拒绝并没收其投标保证金。</w:t>
      </w:r>
    </w:p>
    <w:p>
      <w:pPr>
        <w:spacing w:line="360" w:lineRule="auto"/>
        <w:ind w:firstLine="480" w:firstLineChars="200"/>
        <w:rPr>
          <w:rFonts w:ascii="宋体" w:hAnsi="宋体"/>
          <w:color w:val="auto"/>
          <w:sz w:val="24"/>
        </w:rPr>
      </w:pPr>
      <w:r>
        <w:rPr>
          <w:rFonts w:hint="eastAsia" w:ascii="宋体" w:hAnsi="宋体"/>
          <w:color w:val="auto"/>
          <w:sz w:val="24"/>
        </w:rPr>
        <w:t xml:space="preserve">17.3资格性检查和符合性检查 </w:t>
      </w:r>
    </w:p>
    <w:p>
      <w:pPr>
        <w:spacing w:line="360" w:lineRule="auto"/>
        <w:ind w:firstLine="480"/>
        <w:rPr>
          <w:rFonts w:ascii="宋体" w:hAnsi="宋体"/>
          <w:color w:val="auto"/>
          <w:sz w:val="24"/>
        </w:rPr>
      </w:pPr>
      <w:r>
        <w:rPr>
          <w:rFonts w:hint="eastAsia" w:ascii="宋体" w:hAnsi="宋体"/>
          <w:color w:val="auto"/>
          <w:sz w:val="24"/>
        </w:rPr>
        <w:t>17.3.</w:t>
      </w:r>
      <w:r>
        <w:rPr>
          <w:rFonts w:ascii="宋体" w:hAnsi="宋体"/>
          <w:color w:val="auto"/>
          <w:sz w:val="24"/>
        </w:rPr>
        <w:t>1</w:t>
      </w:r>
      <w:r>
        <w:rPr>
          <w:rFonts w:ascii="宋体" w:hAnsi="宋体" w:cs="宋体"/>
          <w:color w:val="auto"/>
          <w:sz w:val="24"/>
          <w:szCs w:val="24"/>
        </w:rPr>
        <w:t>资格性检查。依据法律法规和招标文件的规定，在对投标文件详细评估之前，由</w:t>
      </w:r>
      <w:r>
        <w:rPr>
          <w:rFonts w:hint="eastAsia" w:ascii="宋体" w:hAnsi="宋体" w:cs="宋体"/>
          <w:color w:val="auto"/>
          <w:sz w:val="24"/>
          <w:szCs w:val="24"/>
        </w:rPr>
        <w:t>宁德市恒福招标有限公司</w:t>
      </w:r>
      <w:r>
        <w:rPr>
          <w:rFonts w:ascii="宋体" w:hAnsi="宋体" w:cs="宋体"/>
          <w:color w:val="auto"/>
          <w:sz w:val="24"/>
          <w:szCs w:val="24"/>
        </w:rPr>
        <w:t>负责资格审查小组的组建及资格审查工作的组织。资格审查小组由3人组成，并负责具体审查事务，其中：由采购人派出的采购人代表至少1人，由</w:t>
      </w:r>
      <w:r>
        <w:rPr>
          <w:rFonts w:hint="eastAsia" w:ascii="宋体" w:hAnsi="宋体" w:cs="宋体"/>
          <w:color w:val="auto"/>
          <w:sz w:val="24"/>
          <w:szCs w:val="24"/>
        </w:rPr>
        <w:t>宁德市恒福招标有限公司</w:t>
      </w:r>
      <w:r>
        <w:rPr>
          <w:rFonts w:ascii="宋体" w:hAnsi="宋体" w:cs="宋体"/>
          <w:color w:val="auto"/>
          <w:sz w:val="24"/>
          <w:szCs w:val="24"/>
        </w:rPr>
        <w:t>派出的工作人员至少1人，其余1人可为采购人代表或</w:t>
      </w:r>
      <w:r>
        <w:rPr>
          <w:rFonts w:hint="eastAsia" w:ascii="宋体" w:hAnsi="宋体" w:cs="宋体"/>
          <w:color w:val="auto"/>
          <w:sz w:val="24"/>
          <w:szCs w:val="24"/>
        </w:rPr>
        <w:t>宁德市恒福招标有限公司</w:t>
      </w:r>
      <w:r>
        <w:rPr>
          <w:rFonts w:ascii="宋体" w:hAnsi="宋体" w:cs="宋体"/>
          <w:color w:val="auto"/>
          <w:sz w:val="24"/>
          <w:szCs w:val="24"/>
        </w:rPr>
        <w:t>的工作人员。资格审查小组将依据投标人提交的投标文件按投标人须知前附表第2项所述的资格标准对投标人进行资格审查, 以确定其是否具备投标资格。如果投标人不具备投标资格，不满足招标文件所规定的资格标准或提供资格证明文件不全的, 其投标将被拒绝</w:t>
      </w:r>
      <w:r>
        <w:rPr>
          <w:rFonts w:hint="eastAsia" w:ascii="宋体" w:hAnsi="宋体"/>
          <w:color w:val="auto"/>
          <w:sz w:val="24"/>
        </w:rPr>
        <w:t>。</w:t>
      </w:r>
    </w:p>
    <w:p>
      <w:pPr>
        <w:spacing w:line="360" w:lineRule="auto"/>
        <w:ind w:firstLine="240" w:firstLineChars="100"/>
        <w:rPr>
          <w:rFonts w:ascii="宋体" w:hAnsi="宋体"/>
          <w:color w:val="auto"/>
          <w:sz w:val="24"/>
        </w:rPr>
      </w:pPr>
      <w:r>
        <w:rPr>
          <w:rFonts w:hint="eastAsia" w:ascii="宋体" w:hAnsi="宋体"/>
          <w:color w:val="auto"/>
          <w:sz w:val="24"/>
        </w:rPr>
        <w:t>17.3.2符合性检查。依据招标文件的规定，评标委员会还将从投标文件的有效性、完整性和对招标文件的响应程度进行审查，以确定是否符合对招标文件的实质性要求作出响应。实质性偏离是指：（</w:t>
      </w:r>
      <w:r>
        <w:rPr>
          <w:rFonts w:ascii="宋体" w:hAnsi="宋体"/>
          <w:color w:val="auto"/>
          <w:sz w:val="24"/>
        </w:rPr>
        <w:t>1</w:t>
      </w:r>
      <w:r>
        <w:rPr>
          <w:rFonts w:hint="eastAsia" w:ascii="宋体" w:hAnsi="宋体"/>
          <w:color w:val="auto"/>
          <w:sz w:val="24"/>
        </w:rPr>
        <w:t>）实质性影响合同的范围、质量和履行；（</w:t>
      </w:r>
      <w:r>
        <w:rPr>
          <w:rFonts w:ascii="宋体" w:hAnsi="宋体"/>
          <w:color w:val="auto"/>
          <w:sz w:val="24"/>
        </w:rPr>
        <w:t>2</w:t>
      </w:r>
      <w:r>
        <w:rPr>
          <w:rFonts w:hint="eastAsia" w:ascii="宋体" w:hAnsi="宋体"/>
          <w:color w:val="auto"/>
          <w:sz w:val="24"/>
        </w:rPr>
        <w:t>）实质性违背招标文件，限制了采购人的权利和中标人合同项下的义务；（</w:t>
      </w:r>
      <w:r>
        <w:rPr>
          <w:rFonts w:ascii="宋体" w:hAnsi="宋体"/>
          <w:color w:val="auto"/>
          <w:sz w:val="24"/>
        </w:rPr>
        <w:t>3</w:t>
      </w:r>
      <w:r>
        <w:rPr>
          <w:rFonts w:hint="eastAsia" w:ascii="宋体" w:hAnsi="宋体"/>
          <w:color w:val="auto"/>
          <w:sz w:val="24"/>
        </w:rPr>
        <w:t>）不公正地影响了其它作出实质性响应的</w:t>
      </w:r>
      <w:r>
        <w:rPr>
          <w:rFonts w:hint="eastAsia" w:ascii="宋体" w:hAnsi="宋体" w:cs="宋体"/>
          <w:color w:val="auto"/>
          <w:sz w:val="24"/>
        </w:rPr>
        <w:t>投标人</w:t>
      </w:r>
      <w:r>
        <w:rPr>
          <w:rFonts w:hint="eastAsia" w:ascii="宋体" w:hAnsi="宋体"/>
          <w:color w:val="auto"/>
          <w:sz w:val="24"/>
        </w:rPr>
        <w:t>的竞争地位。对没有实质性响应的投标文件将不进行评估，其投标将被拒绝。</w:t>
      </w:r>
      <w:r>
        <w:rPr>
          <w:rFonts w:hint="eastAsia" w:ascii="宋体" w:hAnsi="宋体"/>
          <w:b/>
          <w:color w:val="auto"/>
          <w:sz w:val="24"/>
        </w:rPr>
        <w:t>凡出现《第二章 投标人须知前附表第11点》情况之一者，投标文件也将被视为未实质性响应招标文件要求。</w:t>
      </w:r>
    </w:p>
    <w:p>
      <w:pPr>
        <w:spacing w:line="360" w:lineRule="auto"/>
        <w:ind w:firstLine="480" w:firstLineChars="200"/>
        <w:rPr>
          <w:rFonts w:ascii="宋体" w:hAnsi="宋体"/>
          <w:color w:val="auto"/>
          <w:sz w:val="24"/>
        </w:rPr>
      </w:pPr>
      <w:r>
        <w:rPr>
          <w:rFonts w:hint="eastAsia" w:ascii="宋体" w:hAnsi="宋体"/>
          <w:color w:val="auto"/>
          <w:sz w:val="24"/>
        </w:rPr>
        <w:t xml:space="preserve">评标委员会决定投标的响应性只根据投标文件本身的内容，而不寻求其他的外部证据。  </w:t>
      </w:r>
    </w:p>
    <w:p>
      <w:pPr>
        <w:spacing w:line="360" w:lineRule="auto"/>
        <w:rPr>
          <w:rFonts w:ascii="宋体" w:hAnsi="宋体"/>
          <w:color w:val="auto"/>
          <w:sz w:val="24"/>
        </w:rPr>
      </w:pPr>
      <w:r>
        <w:rPr>
          <w:rFonts w:hint="eastAsia" w:ascii="宋体" w:hAnsi="宋体"/>
          <w:color w:val="auto"/>
          <w:sz w:val="24"/>
        </w:rPr>
        <w:t xml:space="preserve">18.投标文件的澄清 </w:t>
      </w:r>
    </w:p>
    <w:p>
      <w:pPr>
        <w:spacing w:line="360" w:lineRule="auto"/>
        <w:ind w:firstLine="480" w:firstLineChars="200"/>
        <w:rPr>
          <w:rFonts w:ascii="宋体" w:hAnsi="宋体"/>
          <w:color w:val="auto"/>
          <w:sz w:val="24"/>
        </w:rPr>
      </w:pPr>
      <w:r>
        <w:rPr>
          <w:rFonts w:hint="eastAsia" w:ascii="宋体" w:hAnsi="宋体"/>
          <w:color w:val="auto"/>
          <w:sz w:val="24"/>
        </w:rPr>
        <w:t>18.1 对投标文件中含义不明确、同类问题表述不一致或者有明显文字和计算错误的内容，评标委员会可以书面形式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p>
    <w:p>
      <w:pPr>
        <w:spacing w:line="360" w:lineRule="auto"/>
        <w:ind w:firstLine="480" w:firstLineChars="200"/>
        <w:rPr>
          <w:rFonts w:ascii="宋体" w:hAnsi="宋体"/>
          <w:color w:val="auto"/>
          <w:sz w:val="24"/>
        </w:rPr>
      </w:pPr>
      <w:r>
        <w:rPr>
          <w:rFonts w:hint="eastAsia" w:ascii="宋体" w:hAnsi="宋体"/>
          <w:color w:val="auto"/>
          <w:sz w:val="24"/>
        </w:rPr>
        <w:t>18.2 对投标描述和证明材料不一致的，评标委员会应当要求投标人进行书面澄清，并以不利于投标人的内容为准进行评审。投标人的澄清、说明应当采用书面形式，并不得超出投标文件的范围或者改变投标文件的实质性内容。投标人按要求进行澄清的，采购人以澄清内容为准进行验收；投标人未按要求进行澄清的，采购人以投标描述、证明材料中有利于采购人的内容进行验收。</w:t>
      </w:r>
    </w:p>
    <w:p>
      <w:pPr>
        <w:pStyle w:val="20"/>
        <w:spacing w:line="360" w:lineRule="auto"/>
        <w:jc w:val="left"/>
        <w:rPr>
          <w:rFonts w:hAnsi="宋体"/>
          <w:color w:val="auto"/>
          <w:sz w:val="24"/>
        </w:rPr>
      </w:pPr>
      <w:r>
        <w:rPr>
          <w:rFonts w:hint="eastAsia" w:hAnsi="宋体"/>
          <w:color w:val="auto"/>
          <w:sz w:val="24"/>
        </w:rPr>
        <w:t xml:space="preserve"> 19.比较与评价</w:t>
      </w:r>
    </w:p>
    <w:p>
      <w:pPr>
        <w:pStyle w:val="20"/>
        <w:spacing w:line="360" w:lineRule="auto"/>
        <w:ind w:firstLine="360" w:firstLineChars="150"/>
        <w:jc w:val="left"/>
        <w:rPr>
          <w:rFonts w:hAnsi="宋体"/>
          <w:color w:val="auto"/>
        </w:rPr>
      </w:pPr>
      <w:r>
        <w:rPr>
          <w:rFonts w:hint="eastAsia" w:hAnsi="宋体"/>
          <w:color w:val="auto"/>
          <w:sz w:val="24"/>
        </w:rPr>
        <w:t>19.1  评标委员会将按投标人须知前附表第6项所述评标方法与标准，对资格性检查和符合性检查合格的投标文件进行商务和技术评估，综合比较与评价。</w:t>
      </w:r>
    </w:p>
    <w:p>
      <w:pPr>
        <w:spacing w:line="360" w:lineRule="auto"/>
        <w:ind w:firstLine="480" w:firstLineChars="200"/>
        <w:rPr>
          <w:rFonts w:ascii="宋体" w:hAnsi="宋体"/>
          <w:color w:val="auto"/>
          <w:sz w:val="24"/>
        </w:rPr>
      </w:pPr>
      <w:r>
        <w:rPr>
          <w:rFonts w:hint="eastAsia" w:ascii="宋体" w:hAnsi="宋体"/>
          <w:color w:val="auto"/>
          <w:sz w:val="24"/>
        </w:rPr>
        <w:t>19.2  对漏（缺）报项的处理：招标文件中要求列入报价的费用（含配置、功能），漏（缺）报的视同已含在投标总价中。但在评标时取有效投标人该项最高报价加入评标价进行评标。对多报项及赠送项的价格评标时不予核减，全部进入评标价评议。</w:t>
      </w:r>
    </w:p>
    <w:p>
      <w:pPr>
        <w:spacing w:line="360" w:lineRule="auto"/>
        <w:ind w:firstLine="480"/>
        <w:rPr>
          <w:rFonts w:ascii="宋体" w:hAnsi="宋体"/>
          <w:b/>
          <w:color w:val="auto"/>
          <w:sz w:val="24"/>
          <w:shd w:val="pct10" w:color="auto" w:fill="FFFFFF"/>
        </w:rPr>
      </w:pPr>
      <w:r>
        <w:rPr>
          <w:rFonts w:hint="eastAsia" w:ascii="宋体" w:hAnsi="宋体"/>
          <w:b/>
          <w:color w:val="auto"/>
          <w:sz w:val="24"/>
          <w:shd w:val="pct10" w:color="auto" w:fill="FFFFFF"/>
        </w:rPr>
        <w:t>19.3 若投标人的报价明显低于其他报价，使得其投标报价可能低于其个别成本的，有可能影响商品质量或不能诚信履约的，投标人应按评标委员会要求作出书面说明并提供相关证明材料，不能合理说明或不能提供相关证明材料的，可作无效投标处理。</w:t>
      </w:r>
    </w:p>
    <w:p>
      <w:pPr>
        <w:spacing w:line="360" w:lineRule="auto"/>
        <w:ind w:firstLine="480" w:firstLineChars="200"/>
        <w:rPr>
          <w:rFonts w:ascii="宋体" w:hAnsi="宋体"/>
          <w:b/>
          <w:color w:val="auto"/>
          <w:sz w:val="24"/>
          <w:lang w:val="zh-CN"/>
        </w:rPr>
      </w:pPr>
      <w:r>
        <w:rPr>
          <w:rFonts w:hint="eastAsia" w:ascii="宋体" w:hAnsi="宋体"/>
          <w:color w:val="auto"/>
          <w:sz w:val="24"/>
        </w:rPr>
        <w:t>19.4评标委员会将按比较与评价最优在先原则, 排列评价顺序, 根据在投标人须知前附表中确定的中标候选人数量推荐出中标候选人。</w:t>
      </w:r>
    </w:p>
    <w:p>
      <w:pPr>
        <w:spacing w:line="360" w:lineRule="auto"/>
        <w:ind w:firstLine="480" w:firstLineChars="200"/>
        <w:rPr>
          <w:rFonts w:ascii="宋体" w:hAnsi="宋体"/>
          <w:color w:val="auto"/>
          <w:sz w:val="24"/>
        </w:rPr>
      </w:pPr>
      <w:r>
        <w:rPr>
          <w:rFonts w:hint="eastAsia" w:ascii="宋体" w:hAnsi="宋体"/>
          <w:color w:val="auto"/>
          <w:sz w:val="24"/>
        </w:rPr>
        <w:t>19.5在评标期间，若出现符合本须知规定的所有投标条件的投标人不足三家情形的，本次招标程序终止，除采购任务取消情形外，招标采购单位将依法重新组织招标或者采取其他方式采购。</w:t>
      </w:r>
    </w:p>
    <w:p>
      <w:pPr>
        <w:spacing w:line="360" w:lineRule="auto"/>
        <w:jc w:val="center"/>
        <w:outlineLvl w:val="1"/>
        <w:rPr>
          <w:rFonts w:ascii="宋体" w:hAnsi="宋体"/>
          <w:color w:val="auto"/>
          <w:sz w:val="24"/>
        </w:rPr>
      </w:pPr>
      <w:bookmarkStart w:id="34" w:name="_Toc277779956"/>
      <w:bookmarkStart w:id="35" w:name="_Toc352224154"/>
      <w:r>
        <w:rPr>
          <w:rFonts w:hint="eastAsia" w:ascii="宋体" w:hAnsi="宋体"/>
          <w:color w:val="auto"/>
          <w:sz w:val="24"/>
        </w:rPr>
        <w:t>六、定标与签订合同</w:t>
      </w:r>
      <w:bookmarkEnd w:id="34"/>
      <w:bookmarkEnd w:id="35"/>
    </w:p>
    <w:p>
      <w:pPr>
        <w:spacing w:line="360" w:lineRule="auto"/>
        <w:rPr>
          <w:rFonts w:ascii="宋体" w:hAnsi="宋体"/>
          <w:color w:val="auto"/>
          <w:sz w:val="24"/>
        </w:rPr>
      </w:pPr>
      <w:r>
        <w:rPr>
          <w:rFonts w:hint="eastAsia" w:ascii="宋体" w:hAnsi="宋体"/>
          <w:color w:val="auto"/>
          <w:sz w:val="24"/>
        </w:rPr>
        <w:t>20</w:t>
      </w:r>
      <w:r>
        <w:rPr>
          <w:rFonts w:ascii="宋体" w:hAnsi="宋体"/>
          <w:color w:val="auto"/>
          <w:sz w:val="24"/>
        </w:rPr>
        <w:t>.</w:t>
      </w:r>
      <w:r>
        <w:rPr>
          <w:rFonts w:hint="eastAsia" w:ascii="宋体" w:hAnsi="宋体"/>
          <w:color w:val="auto"/>
          <w:sz w:val="24"/>
        </w:rPr>
        <w:t>定标准则</w:t>
      </w:r>
    </w:p>
    <w:p>
      <w:pPr>
        <w:spacing w:line="360" w:lineRule="auto"/>
        <w:ind w:firstLine="480"/>
        <w:rPr>
          <w:rFonts w:ascii="宋体" w:hAnsi="宋体"/>
          <w:color w:val="auto"/>
          <w:sz w:val="24"/>
        </w:rPr>
      </w:pPr>
      <w:r>
        <w:rPr>
          <w:rFonts w:hint="eastAsia" w:ascii="宋体" w:hAnsi="宋体"/>
          <w:color w:val="auto"/>
          <w:sz w:val="24"/>
        </w:rPr>
        <w:t>20</w:t>
      </w:r>
      <w:r>
        <w:rPr>
          <w:rFonts w:ascii="宋体" w:hAnsi="宋体"/>
          <w:color w:val="auto"/>
          <w:sz w:val="24"/>
        </w:rPr>
        <w:t>.1</w:t>
      </w:r>
      <w:r>
        <w:rPr>
          <w:rFonts w:hint="eastAsia" w:ascii="宋体" w:hAnsi="宋体"/>
          <w:color w:val="auto"/>
          <w:sz w:val="24"/>
        </w:rPr>
        <w:t>最低投标价不作为中标的保证。</w:t>
      </w:r>
    </w:p>
    <w:p>
      <w:pPr>
        <w:spacing w:line="360" w:lineRule="auto"/>
        <w:ind w:firstLine="480"/>
        <w:rPr>
          <w:rFonts w:ascii="宋体" w:hAnsi="宋体"/>
          <w:color w:val="auto"/>
          <w:sz w:val="24"/>
        </w:rPr>
      </w:pPr>
      <w:r>
        <w:rPr>
          <w:rFonts w:hint="eastAsia" w:ascii="宋体" w:hAnsi="宋体"/>
          <w:color w:val="auto"/>
          <w:sz w:val="24"/>
        </w:rPr>
        <w:t>20</w:t>
      </w:r>
      <w:r>
        <w:rPr>
          <w:rFonts w:ascii="宋体" w:hAnsi="宋体"/>
          <w:color w:val="auto"/>
          <w:sz w:val="24"/>
        </w:rPr>
        <w:t>.</w:t>
      </w:r>
      <w:r>
        <w:rPr>
          <w:rFonts w:hint="eastAsia" w:ascii="宋体" w:hAnsi="宋体"/>
          <w:color w:val="auto"/>
          <w:sz w:val="24"/>
        </w:rPr>
        <w:t>2投标人的投标文件符合招标文件要求，按招标文件确定评标标准、方法，经评委评审并推荐中标候选人。</w:t>
      </w:r>
    </w:p>
    <w:p>
      <w:pPr>
        <w:spacing w:line="360" w:lineRule="auto"/>
        <w:rPr>
          <w:rFonts w:ascii="宋体" w:hAnsi="宋体"/>
          <w:color w:val="auto"/>
          <w:sz w:val="24"/>
        </w:rPr>
      </w:pPr>
      <w:r>
        <w:rPr>
          <w:rFonts w:hint="eastAsia" w:ascii="宋体" w:hAnsi="宋体"/>
          <w:color w:val="auto"/>
          <w:sz w:val="24"/>
        </w:rPr>
        <w:t>21</w:t>
      </w:r>
      <w:r>
        <w:rPr>
          <w:rFonts w:ascii="宋体" w:hAnsi="宋体"/>
          <w:color w:val="auto"/>
          <w:sz w:val="24"/>
        </w:rPr>
        <w:t xml:space="preserve">. </w:t>
      </w:r>
      <w:r>
        <w:rPr>
          <w:rFonts w:hint="eastAsia" w:ascii="宋体" w:hAnsi="宋体"/>
          <w:color w:val="auto"/>
          <w:sz w:val="24"/>
        </w:rPr>
        <w:t>中标通知</w:t>
      </w:r>
    </w:p>
    <w:p>
      <w:pPr>
        <w:spacing w:line="360" w:lineRule="auto"/>
        <w:ind w:firstLine="480" w:firstLineChars="200"/>
        <w:rPr>
          <w:rFonts w:ascii="宋体" w:hAnsi="宋体"/>
          <w:color w:val="auto"/>
          <w:sz w:val="24"/>
        </w:rPr>
      </w:pPr>
      <w:r>
        <w:rPr>
          <w:rFonts w:hint="eastAsia" w:ascii="宋体" w:hAnsi="宋体"/>
          <w:color w:val="auto"/>
          <w:sz w:val="24"/>
        </w:rPr>
        <w:t>21</w:t>
      </w:r>
      <w:r>
        <w:rPr>
          <w:rFonts w:ascii="宋体" w:hAnsi="宋体"/>
          <w:color w:val="auto"/>
          <w:sz w:val="24"/>
        </w:rPr>
        <w:t>.1</w:t>
      </w:r>
      <w:r>
        <w:rPr>
          <w:rFonts w:hint="eastAsia" w:ascii="宋体" w:hAnsi="宋体"/>
          <w:color w:val="auto"/>
          <w:sz w:val="24"/>
        </w:rPr>
        <w:t>评标结束后，评标结果经采购人确认后，招标代理机构将在刊登本采购项目招标公告的媒介上对中标结果进行公示，同时招标代理机构向中标供应商发出中标通知书。中标通知书对采购人和中标供应商具有同等法律效力。中标通知书发出后，采购人改变中标结果，或者中标供应商放弃中标，应按相关法律、规章、规范性文件的要求承担相应的法律责任。投标人对中标公告有异议的，应当在知道或应当知道其权益受到损害之日起7个工作日内，以书面形式向采购人或招标代理机构提出质疑。</w:t>
      </w:r>
    </w:p>
    <w:p>
      <w:pPr>
        <w:spacing w:line="360" w:lineRule="auto"/>
        <w:ind w:firstLine="480"/>
        <w:rPr>
          <w:rFonts w:ascii="宋体" w:hAnsi="宋体"/>
          <w:color w:val="auto"/>
          <w:sz w:val="24"/>
        </w:rPr>
      </w:pPr>
      <w:r>
        <w:rPr>
          <w:rFonts w:hint="eastAsia" w:ascii="宋体" w:hAnsi="宋体"/>
          <w:color w:val="auto"/>
          <w:sz w:val="24"/>
        </w:rPr>
        <w:t>21.2 在中标合同签订生效后,向未中标人发出落标结果通知书。</w:t>
      </w:r>
    </w:p>
    <w:p>
      <w:pPr>
        <w:spacing w:line="360" w:lineRule="auto"/>
        <w:ind w:firstLine="480" w:firstLineChars="200"/>
        <w:rPr>
          <w:rFonts w:ascii="宋体" w:hAnsi="宋体"/>
          <w:color w:val="auto"/>
          <w:sz w:val="24"/>
        </w:rPr>
      </w:pPr>
      <w:r>
        <w:rPr>
          <w:rFonts w:hint="eastAsia" w:ascii="宋体" w:hAnsi="宋体"/>
          <w:color w:val="auto"/>
          <w:sz w:val="24"/>
        </w:rPr>
        <w:t>21</w:t>
      </w:r>
      <w:r>
        <w:rPr>
          <w:rFonts w:ascii="宋体" w:hAnsi="宋体"/>
          <w:color w:val="auto"/>
          <w:sz w:val="24"/>
        </w:rPr>
        <w:t>.</w:t>
      </w:r>
      <w:r>
        <w:rPr>
          <w:rFonts w:hint="eastAsia" w:ascii="宋体" w:hAnsi="宋体"/>
          <w:color w:val="auto"/>
          <w:sz w:val="24"/>
        </w:rPr>
        <w:t>3《中标通知书》将作为签订合同的依据。《合同》签订后，《中标通知书》成为《合同》的一部分。</w:t>
      </w:r>
    </w:p>
    <w:p>
      <w:pPr>
        <w:spacing w:line="360" w:lineRule="auto"/>
        <w:ind w:firstLine="480" w:firstLineChars="200"/>
        <w:rPr>
          <w:rFonts w:ascii="宋体" w:hAnsi="宋体"/>
          <w:color w:val="auto"/>
          <w:sz w:val="24"/>
        </w:rPr>
      </w:pPr>
      <w:r>
        <w:rPr>
          <w:rFonts w:hint="eastAsia" w:ascii="宋体" w:hAnsi="宋体"/>
          <w:color w:val="auto"/>
          <w:sz w:val="24"/>
        </w:rPr>
        <w:t>21</w:t>
      </w:r>
      <w:r>
        <w:rPr>
          <w:rFonts w:ascii="宋体" w:hAnsi="宋体"/>
          <w:color w:val="auto"/>
          <w:sz w:val="24"/>
        </w:rPr>
        <w:t>.</w:t>
      </w:r>
      <w:r>
        <w:rPr>
          <w:rFonts w:hint="eastAsia" w:ascii="宋体" w:hAnsi="宋体"/>
          <w:color w:val="auto"/>
          <w:sz w:val="24"/>
        </w:rPr>
        <w:t>4《中标通知书》发出后5个工作日内，招标代理机构以原缴交方式向未中标的投标人退还其投标保证金。</w:t>
      </w:r>
    </w:p>
    <w:p>
      <w:pPr>
        <w:adjustRightInd w:val="0"/>
        <w:spacing w:line="360" w:lineRule="auto"/>
        <w:ind w:firstLine="480" w:firstLineChars="200"/>
        <w:rPr>
          <w:rFonts w:ascii="宋体" w:hAnsi="宋体"/>
          <w:color w:val="auto"/>
          <w:sz w:val="24"/>
        </w:rPr>
      </w:pPr>
      <w:r>
        <w:rPr>
          <w:rFonts w:hint="eastAsia" w:ascii="宋体" w:hAnsi="宋体"/>
          <w:color w:val="auto"/>
          <w:sz w:val="24"/>
        </w:rPr>
        <w:t>21</w:t>
      </w:r>
      <w:r>
        <w:rPr>
          <w:rFonts w:ascii="宋体" w:hAnsi="宋体"/>
          <w:color w:val="auto"/>
          <w:sz w:val="24"/>
        </w:rPr>
        <w:t>.</w:t>
      </w:r>
      <w:r>
        <w:rPr>
          <w:rFonts w:hint="eastAsia" w:ascii="宋体" w:hAnsi="宋体"/>
          <w:color w:val="auto"/>
          <w:sz w:val="24"/>
        </w:rPr>
        <w:t>5在合同签订后5个工作日内，以原缴交方式退还中标供应商的投标保证金。</w:t>
      </w:r>
    </w:p>
    <w:p>
      <w:pPr>
        <w:pStyle w:val="140"/>
        <w:spacing w:line="360" w:lineRule="auto"/>
        <w:rPr>
          <w:rFonts w:hAnsi="宋体"/>
          <w:color w:val="auto"/>
        </w:rPr>
      </w:pPr>
      <w:r>
        <w:rPr>
          <w:rFonts w:hint="eastAsia" w:hAnsi="宋体"/>
          <w:color w:val="auto"/>
        </w:rPr>
        <w:t>22.签订合同</w:t>
      </w:r>
    </w:p>
    <w:p>
      <w:pPr>
        <w:adjustRightInd w:val="0"/>
        <w:spacing w:line="360" w:lineRule="auto"/>
        <w:ind w:firstLine="420"/>
        <w:rPr>
          <w:rFonts w:ascii="宋体" w:hAnsi="宋体"/>
          <w:color w:val="auto"/>
          <w:sz w:val="24"/>
        </w:rPr>
      </w:pPr>
      <w:r>
        <w:rPr>
          <w:rFonts w:hint="eastAsia" w:ascii="宋体" w:hAnsi="宋体"/>
          <w:color w:val="auto"/>
          <w:sz w:val="24"/>
        </w:rPr>
        <w:t>22</w:t>
      </w:r>
      <w:r>
        <w:rPr>
          <w:rFonts w:ascii="宋体" w:hAnsi="宋体"/>
          <w:color w:val="auto"/>
          <w:sz w:val="24"/>
        </w:rPr>
        <w:t>.</w:t>
      </w:r>
      <w:r>
        <w:rPr>
          <w:rFonts w:hint="eastAsia" w:ascii="宋体" w:hAnsi="宋体"/>
          <w:color w:val="auto"/>
          <w:sz w:val="24"/>
        </w:rPr>
        <w:t>1采购人、中标供应商在《中标通知书》发出之日起30日内，根据招标文件确定的事项和中标供应商投标文件，参照本招标文件第四章的《合同》文本签订合同。双方所签订的合同不得对招标文件和中标供应商投标文件作实质性修改。逾期未签订合同，按照有关法律规定承担相应的法律责任；招标代理机构将没收招标保证金，以抵偿对采购人造成的损失。采购方逾期不与中标供应商签订合同的，按政府采购的有关规定处理。</w:t>
      </w:r>
    </w:p>
    <w:p>
      <w:pPr>
        <w:adjustRightInd w:val="0"/>
        <w:spacing w:line="360" w:lineRule="auto"/>
        <w:ind w:firstLine="420"/>
        <w:rPr>
          <w:rFonts w:ascii="宋体" w:hAnsi="宋体"/>
          <w:color w:val="auto"/>
          <w:sz w:val="24"/>
        </w:rPr>
      </w:pPr>
      <w:r>
        <w:rPr>
          <w:rFonts w:hint="eastAsia" w:ascii="宋体" w:hAnsi="宋体"/>
          <w:color w:val="auto"/>
          <w:sz w:val="24"/>
        </w:rPr>
        <w:t>22</w:t>
      </w:r>
      <w:r>
        <w:rPr>
          <w:rFonts w:ascii="宋体" w:hAnsi="宋体"/>
          <w:color w:val="auto"/>
          <w:sz w:val="24"/>
        </w:rPr>
        <w:t>.</w:t>
      </w:r>
      <w:r>
        <w:rPr>
          <w:rFonts w:hint="eastAsia" w:ascii="宋体" w:hAnsi="宋体"/>
          <w:color w:val="auto"/>
          <w:sz w:val="24"/>
        </w:rPr>
        <w:t>2招标文件、招标文件的修改文件、中标供应商的投标文件、补充或修改的文件及澄清或承诺文件等，均为双方签订《合同》的组成部分，并与《合同》一并作为本招标文件所列采购项目的互补性法律文件，与《合同》具有同等法律效力。</w:t>
      </w:r>
    </w:p>
    <w:p>
      <w:pPr>
        <w:adjustRightInd w:val="0"/>
        <w:snapToGrid w:val="0"/>
        <w:spacing w:line="360" w:lineRule="auto"/>
        <w:ind w:firstLine="420"/>
        <w:rPr>
          <w:rFonts w:ascii="宋体" w:hAnsi="宋体"/>
          <w:color w:val="auto"/>
          <w:sz w:val="24"/>
        </w:rPr>
      </w:pPr>
      <w:r>
        <w:rPr>
          <w:rFonts w:hint="eastAsia" w:ascii="宋体" w:hAnsi="宋体"/>
          <w:color w:val="auto"/>
          <w:sz w:val="24"/>
        </w:rPr>
        <w:t>22</w:t>
      </w:r>
      <w:r>
        <w:rPr>
          <w:rFonts w:ascii="宋体" w:hAnsi="宋体"/>
          <w:color w:val="auto"/>
          <w:sz w:val="24"/>
        </w:rPr>
        <w:t>.</w:t>
      </w:r>
      <w:r>
        <w:rPr>
          <w:rFonts w:hint="eastAsia" w:ascii="宋体" w:hAnsi="宋体"/>
          <w:color w:val="auto"/>
          <w:sz w:val="24"/>
        </w:rPr>
        <w:t xml:space="preserve">3采购人在合同履行中，需追加与合同标的相同的货物或者服务的，在不改变合同其他条款的前提下，可与供应商协商签订补充合同，但所有补充合同的采购金额不得超过原合同采购金额的百分之十。 </w:t>
      </w:r>
    </w:p>
    <w:p>
      <w:pPr>
        <w:adjustRightInd w:val="0"/>
        <w:snapToGrid w:val="0"/>
        <w:spacing w:line="360" w:lineRule="auto"/>
        <w:ind w:firstLine="420"/>
        <w:rPr>
          <w:rFonts w:ascii="宋体" w:hAnsi="宋体"/>
          <w:color w:val="auto"/>
          <w:sz w:val="24"/>
        </w:rPr>
      </w:pPr>
      <w:r>
        <w:rPr>
          <w:rFonts w:hint="eastAsia" w:ascii="宋体" w:hAnsi="宋体"/>
          <w:color w:val="auto"/>
          <w:sz w:val="24"/>
        </w:rPr>
        <w:t>22</w:t>
      </w:r>
      <w:r>
        <w:rPr>
          <w:rFonts w:ascii="宋体" w:hAnsi="宋体"/>
          <w:color w:val="auto"/>
          <w:sz w:val="24"/>
        </w:rPr>
        <w:t>.</w:t>
      </w:r>
      <w:r>
        <w:rPr>
          <w:rFonts w:hint="eastAsia" w:ascii="宋体" w:hAnsi="宋体"/>
          <w:color w:val="auto"/>
          <w:sz w:val="24"/>
        </w:rPr>
        <w:t>4中标供应商因不可抗力或者自身原因不能履行政府采购合同的，采购人可以与排位在中标供应商之后第一位的中标候选供应商签订政府采购合同，以此类推。</w:t>
      </w:r>
      <w:r>
        <w:rPr>
          <w:rFonts w:ascii="宋体" w:hAnsi="宋体" w:cs="宋体"/>
          <w:color w:val="auto"/>
          <w:kern w:val="1"/>
          <w:sz w:val="24"/>
          <w:szCs w:val="24"/>
        </w:rPr>
        <w:t>也可以重新开展政府采购活动</w:t>
      </w:r>
      <w:r>
        <w:rPr>
          <w:rFonts w:hint="eastAsia" w:ascii="宋体" w:hAnsi="宋体" w:cs="宋体"/>
          <w:color w:val="auto"/>
          <w:kern w:val="1"/>
          <w:sz w:val="24"/>
          <w:szCs w:val="24"/>
        </w:rPr>
        <w:t>。</w:t>
      </w:r>
    </w:p>
    <w:p>
      <w:pPr>
        <w:spacing w:line="360" w:lineRule="auto"/>
        <w:rPr>
          <w:rFonts w:ascii="宋体" w:hAnsi="宋体" w:cs="宋体"/>
          <w:b/>
          <w:color w:val="auto"/>
          <w:kern w:val="1"/>
          <w:sz w:val="24"/>
          <w:szCs w:val="24"/>
        </w:rPr>
      </w:pPr>
      <w:r>
        <w:rPr>
          <w:rFonts w:ascii="宋体" w:hAnsi="宋体" w:cs="宋体"/>
          <w:b/>
          <w:color w:val="auto"/>
          <w:kern w:val="1"/>
          <w:sz w:val="24"/>
          <w:szCs w:val="24"/>
          <w:highlight w:val="lightGray"/>
        </w:rPr>
        <w:t>23.质疑处理时限及要求</w:t>
      </w:r>
    </w:p>
    <w:p>
      <w:pPr>
        <w:spacing w:line="360" w:lineRule="auto"/>
        <w:ind w:firstLine="480" w:firstLineChars="200"/>
        <w:rPr>
          <w:rFonts w:ascii="宋体" w:hAnsi="宋体" w:cs="宋体"/>
          <w:color w:val="auto"/>
          <w:kern w:val="1"/>
          <w:sz w:val="24"/>
          <w:szCs w:val="24"/>
        </w:rPr>
      </w:pPr>
      <w:r>
        <w:rPr>
          <w:rFonts w:ascii="宋体" w:hAnsi="宋体" w:cs="宋体"/>
          <w:color w:val="auto"/>
          <w:kern w:val="1"/>
          <w:sz w:val="24"/>
          <w:szCs w:val="24"/>
        </w:rPr>
        <w:t>23.1</w:t>
      </w:r>
      <w:r>
        <w:rPr>
          <w:rFonts w:hint="eastAsia" w:ascii="宋体" w:hAnsi="宋体"/>
          <w:color w:val="auto"/>
          <w:sz w:val="24"/>
        </w:rPr>
        <w:t>根据《中华人民共和国政府采购法》第五十二条和第五十三条规定，</w:t>
      </w:r>
      <w:r>
        <w:rPr>
          <w:rFonts w:ascii="宋体" w:hAnsi="宋体" w:cs="宋体"/>
          <w:color w:val="auto"/>
          <w:kern w:val="1"/>
          <w:sz w:val="24"/>
          <w:szCs w:val="24"/>
        </w:rPr>
        <w:t>政府采购项目</w:t>
      </w:r>
      <w:r>
        <w:rPr>
          <w:rFonts w:hint="eastAsia" w:ascii="宋体" w:hAnsi="宋体" w:cs="宋体"/>
          <w:color w:val="auto"/>
          <w:kern w:val="1"/>
          <w:sz w:val="24"/>
          <w:szCs w:val="24"/>
        </w:rPr>
        <w:t>投标人</w:t>
      </w:r>
      <w:r>
        <w:rPr>
          <w:rFonts w:ascii="宋体" w:hAnsi="宋体" w:cs="宋体"/>
          <w:color w:val="auto"/>
          <w:kern w:val="1"/>
          <w:sz w:val="24"/>
          <w:szCs w:val="24"/>
        </w:rPr>
        <w:t>在知道或者应当知道其权益受到损害之日起7个工作日内书面向采购人、采购代理机构提出质疑并提供证明材料；采购人、采购代理机构在收到质疑后7个工作日内作出书面答复。</w:t>
      </w:r>
    </w:p>
    <w:p>
      <w:pPr>
        <w:spacing w:line="360" w:lineRule="auto"/>
        <w:ind w:firstLine="480" w:firstLineChars="200"/>
        <w:rPr>
          <w:rFonts w:ascii="宋体" w:hAnsi="宋体" w:cs="宋体"/>
          <w:color w:val="auto"/>
          <w:kern w:val="1"/>
          <w:sz w:val="24"/>
          <w:szCs w:val="24"/>
        </w:rPr>
      </w:pPr>
      <w:r>
        <w:rPr>
          <w:rFonts w:ascii="宋体" w:hAnsi="宋体" w:cs="宋体"/>
          <w:color w:val="auto"/>
          <w:kern w:val="1"/>
          <w:sz w:val="24"/>
          <w:szCs w:val="24"/>
        </w:rPr>
        <w:t xml:space="preserve">23.2提出质疑期限的计算，依照下列规定办理： </w:t>
      </w:r>
    </w:p>
    <w:p>
      <w:pPr>
        <w:spacing w:line="360" w:lineRule="auto"/>
        <w:ind w:firstLine="480" w:firstLineChars="200"/>
        <w:rPr>
          <w:rFonts w:ascii="宋体" w:hAnsi="宋体" w:cs="宋体"/>
          <w:color w:val="auto"/>
          <w:kern w:val="1"/>
          <w:sz w:val="24"/>
          <w:szCs w:val="24"/>
        </w:rPr>
      </w:pPr>
      <w:r>
        <w:rPr>
          <w:rFonts w:ascii="宋体" w:hAnsi="宋体" w:cs="宋体"/>
          <w:color w:val="auto"/>
          <w:kern w:val="1"/>
          <w:sz w:val="24"/>
          <w:szCs w:val="24"/>
        </w:rPr>
        <w:t>①对招标文件提出质疑的，</w:t>
      </w:r>
      <w:r>
        <w:rPr>
          <w:rFonts w:ascii="宋体" w:hAnsi="宋体" w:cs="宋体"/>
          <w:bCs/>
          <w:color w:val="auto"/>
          <w:kern w:val="1"/>
          <w:sz w:val="24"/>
          <w:szCs w:val="24"/>
        </w:rPr>
        <w:t>为收到招标文件之日或者招标文件公告期限届满之日(</w:t>
      </w:r>
      <w:r>
        <w:rPr>
          <w:rFonts w:hint="eastAsia" w:ascii="宋体" w:hAnsi="宋体" w:cs="宋体"/>
          <w:bCs/>
          <w:color w:val="auto"/>
          <w:kern w:val="1"/>
          <w:sz w:val="24"/>
          <w:szCs w:val="24"/>
        </w:rPr>
        <w:t>公告期限为5个工作日</w:t>
      </w:r>
      <w:r>
        <w:rPr>
          <w:rFonts w:ascii="宋体" w:hAnsi="宋体" w:cs="宋体"/>
          <w:bCs/>
          <w:color w:val="auto"/>
          <w:kern w:val="1"/>
          <w:sz w:val="24"/>
          <w:szCs w:val="24"/>
        </w:rPr>
        <w:t>)起7个工作日内</w:t>
      </w:r>
      <w:r>
        <w:rPr>
          <w:rFonts w:ascii="宋体" w:hAnsi="宋体" w:cs="宋体"/>
          <w:color w:val="auto"/>
          <w:kern w:val="1"/>
          <w:sz w:val="24"/>
          <w:szCs w:val="24"/>
        </w:rPr>
        <w:t>。</w:t>
      </w:r>
    </w:p>
    <w:p>
      <w:pPr>
        <w:spacing w:line="360" w:lineRule="auto"/>
        <w:ind w:firstLine="480" w:firstLineChars="200"/>
        <w:rPr>
          <w:rFonts w:ascii="宋体" w:hAnsi="宋体" w:cs="宋体"/>
          <w:color w:val="auto"/>
          <w:kern w:val="1"/>
          <w:sz w:val="24"/>
          <w:szCs w:val="24"/>
        </w:rPr>
      </w:pPr>
      <w:r>
        <w:rPr>
          <w:rFonts w:ascii="宋体" w:hAnsi="宋体" w:cs="宋体"/>
          <w:color w:val="auto"/>
          <w:kern w:val="1"/>
          <w:sz w:val="24"/>
          <w:szCs w:val="24"/>
        </w:rPr>
        <w:t>②对采购过程提出质疑的，为各采购程序环节结束之日起</w:t>
      </w:r>
      <w:r>
        <w:rPr>
          <w:rFonts w:ascii="宋体" w:hAnsi="宋体" w:cs="宋体"/>
          <w:bCs/>
          <w:color w:val="auto"/>
          <w:kern w:val="1"/>
          <w:sz w:val="24"/>
          <w:szCs w:val="24"/>
        </w:rPr>
        <w:t>7个工作日内</w:t>
      </w:r>
      <w:r>
        <w:rPr>
          <w:rFonts w:ascii="宋体" w:hAnsi="宋体" w:cs="宋体"/>
          <w:color w:val="auto"/>
          <w:kern w:val="1"/>
          <w:sz w:val="24"/>
          <w:szCs w:val="24"/>
        </w:rPr>
        <w:t>。</w:t>
      </w:r>
    </w:p>
    <w:p>
      <w:pPr>
        <w:spacing w:line="360" w:lineRule="auto"/>
        <w:ind w:firstLine="480" w:firstLineChars="200"/>
        <w:rPr>
          <w:rFonts w:ascii="宋体" w:hAnsi="宋体" w:cs="宋体"/>
          <w:color w:val="auto"/>
          <w:kern w:val="1"/>
          <w:sz w:val="24"/>
          <w:szCs w:val="24"/>
        </w:rPr>
      </w:pPr>
      <w:r>
        <w:rPr>
          <w:rFonts w:ascii="宋体" w:hAnsi="宋体" w:cs="宋体"/>
          <w:color w:val="auto"/>
          <w:kern w:val="1"/>
          <w:sz w:val="24"/>
          <w:szCs w:val="24"/>
        </w:rPr>
        <w:t>③对中标结果提出质疑的，为中标结果公告期限</w:t>
      </w:r>
      <w:r>
        <w:rPr>
          <w:rFonts w:ascii="宋体" w:hAnsi="宋体" w:cs="宋体"/>
          <w:bCs/>
          <w:color w:val="auto"/>
          <w:kern w:val="1"/>
          <w:sz w:val="24"/>
          <w:szCs w:val="24"/>
        </w:rPr>
        <w:t>(</w:t>
      </w:r>
      <w:r>
        <w:rPr>
          <w:rFonts w:hint="eastAsia" w:ascii="宋体" w:hAnsi="宋体" w:cs="宋体"/>
          <w:bCs/>
          <w:color w:val="auto"/>
          <w:kern w:val="1"/>
          <w:sz w:val="24"/>
          <w:szCs w:val="24"/>
        </w:rPr>
        <w:t>公告期限为1个工作日</w:t>
      </w:r>
      <w:r>
        <w:rPr>
          <w:rFonts w:ascii="宋体" w:hAnsi="宋体" w:cs="宋体"/>
          <w:bCs/>
          <w:color w:val="auto"/>
          <w:kern w:val="1"/>
          <w:sz w:val="24"/>
          <w:szCs w:val="24"/>
        </w:rPr>
        <w:t>)</w:t>
      </w:r>
      <w:r>
        <w:rPr>
          <w:rFonts w:ascii="宋体" w:hAnsi="宋体" w:cs="宋体"/>
          <w:color w:val="auto"/>
          <w:kern w:val="1"/>
          <w:sz w:val="24"/>
          <w:szCs w:val="24"/>
        </w:rPr>
        <w:t>届满之日起7个工作日内。</w:t>
      </w:r>
    </w:p>
    <w:p>
      <w:pPr>
        <w:spacing w:line="360" w:lineRule="auto"/>
        <w:ind w:firstLine="480" w:firstLineChars="200"/>
        <w:rPr>
          <w:rFonts w:ascii="宋体" w:hAnsi="宋体"/>
          <w:color w:val="auto"/>
          <w:sz w:val="24"/>
          <w:szCs w:val="24"/>
          <w:shd w:val="pct10" w:color="auto" w:fill="FFFFFF"/>
        </w:rPr>
      </w:pPr>
      <w:r>
        <w:rPr>
          <w:rFonts w:ascii="宋体" w:hAnsi="宋体" w:cs="宋体"/>
          <w:color w:val="auto"/>
          <w:sz w:val="24"/>
          <w:szCs w:val="24"/>
        </w:rPr>
        <w:t>23.3</w:t>
      </w:r>
      <w:r>
        <w:rPr>
          <w:rFonts w:hint="eastAsia" w:ascii="宋体" w:hAnsi="宋体" w:cs="宋体"/>
          <w:color w:val="auto"/>
          <w:sz w:val="24"/>
          <w:lang w:val="zh-CN"/>
        </w:rPr>
        <w:t>参加宁德市政府采购活动的</w:t>
      </w:r>
      <w:r>
        <w:rPr>
          <w:rFonts w:hint="eastAsia" w:ascii="宋体" w:hAnsi="宋体" w:cs="宋体"/>
          <w:color w:val="auto"/>
          <w:sz w:val="24"/>
        </w:rPr>
        <w:t>供应商</w:t>
      </w:r>
      <w:r>
        <w:rPr>
          <w:rFonts w:hint="eastAsia" w:ascii="宋体" w:hAnsi="宋体" w:cs="宋体"/>
          <w:color w:val="auto"/>
          <w:sz w:val="24"/>
          <w:lang w:val="zh-CN"/>
        </w:rPr>
        <w:t>依法质疑被质疑人的</w:t>
      </w:r>
      <w:r>
        <w:rPr>
          <w:rFonts w:hint="eastAsia" w:ascii="宋体" w:hAnsi="宋体" w:cs="宋体"/>
          <w:color w:val="auto"/>
          <w:sz w:val="24"/>
        </w:rPr>
        <w:t>，</w:t>
      </w:r>
      <w:r>
        <w:rPr>
          <w:rFonts w:hint="eastAsia" w:ascii="宋体" w:hAnsi="宋体" w:cs="宋体"/>
          <w:color w:val="auto"/>
          <w:sz w:val="24"/>
          <w:lang w:val="zh-CN"/>
        </w:rPr>
        <w:t>适用宁德市《宁财购（</w:t>
      </w:r>
      <w:r>
        <w:rPr>
          <w:rFonts w:hint="eastAsia" w:ascii="宋体" w:hAnsi="宋体" w:cs="宋体"/>
          <w:color w:val="auto"/>
          <w:sz w:val="24"/>
        </w:rPr>
        <w:t>2019</w:t>
      </w:r>
      <w:r>
        <w:rPr>
          <w:rFonts w:hint="eastAsia" w:ascii="宋体" w:hAnsi="宋体" w:cs="宋体"/>
          <w:color w:val="auto"/>
          <w:sz w:val="24"/>
          <w:lang w:val="zh-CN"/>
        </w:rPr>
        <w:t>）</w:t>
      </w:r>
      <w:r>
        <w:rPr>
          <w:rFonts w:hint="eastAsia" w:ascii="宋体" w:hAnsi="宋体" w:cs="宋体"/>
          <w:color w:val="auto"/>
          <w:sz w:val="24"/>
        </w:rPr>
        <w:t>9号文件》的规定，</w:t>
      </w:r>
      <w:r>
        <w:rPr>
          <w:rFonts w:hint="eastAsia" w:ascii="宋体" w:hAnsi="宋体" w:cs="宋体"/>
          <w:color w:val="auto"/>
          <w:sz w:val="24"/>
          <w:lang w:val="zh-CN"/>
        </w:rPr>
        <w:t>各潜在</w:t>
      </w:r>
      <w:r>
        <w:rPr>
          <w:rFonts w:hint="eastAsia" w:ascii="宋体" w:hAnsi="宋体" w:cs="宋体"/>
          <w:color w:val="auto"/>
          <w:sz w:val="24"/>
        </w:rPr>
        <w:t>供应商</w:t>
      </w:r>
      <w:r>
        <w:rPr>
          <w:rFonts w:hint="eastAsia" w:ascii="宋体" w:hAnsi="宋体" w:cs="宋体"/>
          <w:color w:val="auto"/>
          <w:sz w:val="24"/>
          <w:lang w:val="zh-CN"/>
        </w:rPr>
        <w:t>须遵照执行</w:t>
      </w:r>
      <w:r>
        <w:rPr>
          <w:rFonts w:hint="eastAsia" w:ascii="宋体" w:hAnsi="宋体" w:cs="宋体"/>
          <w:color w:val="auto"/>
          <w:sz w:val="24"/>
        </w:rPr>
        <w:t>，</w:t>
      </w:r>
      <w:r>
        <w:rPr>
          <w:rFonts w:hint="eastAsia" w:ascii="宋体" w:hAnsi="宋体" w:cs="宋体"/>
          <w:color w:val="auto"/>
          <w:sz w:val="24"/>
          <w:lang w:val="zh-CN"/>
        </w:rPr>
        <w:t>否则不予受理。</w:t>
      </w:r>
      <w:r>
        <w:rPr>
          <w:rFonts w:ascii="宋体" w:hAnsi="宋体" w:cs="宋体"/>
          <w:color w:val="auto"/>
          <w:sz w:val="24"/>
          <w:szCs w:val="24"/>
        </w:rPr>
        <w:t>供应商提出质疑,应提交由法定代表人或授权代表(提供授权函)签署、加盖公章的书面原件</w:t>
      </w:r>
      <w:r>
        <w:rPr>
          <w:rFonts w:hint="eastAsia" w:ascii="宋体" w:hAnsi="宋体" w:cs="宋体"/>
          <w:color w:val="auto"/>
          <w:sz w:val="24"/>
        </w:rPr>
        <w:t>一份</w:t>
      </w:r>
      <w:r>
        <w:rPr>
          <w:rFonts w:ascii="宋体" w:hAnsi="宋体" w:cs="宋体"/>
          <w:color w:val="auto"/>
          <w:sz w:val="24"/>
          <w:szCs w:val="24"/>
        </w:rPr>
        <w:t>(拒绝传真、电邮、电话形式等其它形式</w:t>
      </w:r>
      <w:r>
        <w:rPr>
          <w:rFonts w:hint="eastAsia" w:ascii="宋体" w:hAnsi="宋体" w:cs="宋体"/>
          <w:color w:val="auto"/>
          <w:sz w:val="24"/>
          <w:szCs w:val="24"/>
        </w:rPr>
        <w:t>，</w:t>
      </w:r>
      <w:r>
        <w:rPr>
          <w:rFonts w:hint="eastAsia" w:ascii="宋体" w:hAnsi="宋体"/>
          <w:color w:val="auto"/>
          <w:sz w:val="24"/>
        </w:rPr>
        <w:t>质疑书的落款时间必须是提交质疑书当天的时间</w:t>
      </w:r>
      <w:r>
        <w:rPr>
          <w:rFonts w:ascii="宋体" w:hAnsi="宋体" w:cs="宋体"/>
          <w:color w:val="auto"/>
          <w:sz w:val="24"/>
          <w:szCs w:val="24"/>
        </w:rPr>
        <w:t>)</w:t>
      </w:r>
      <w:r>
        <w:rPr>
          <w:rFonts w:hint="eastAsia" w:ascii="宋体" w:hAnsi="宋体" w:cs="宋体"/>
          <w:color w:val="auto"/>
          <w:sz w:val="24"/>
        </w:rPr>
        <w:t>，另附一份电子光盘</w:t>
      </w:r>
      <w:r>
        <w:rPr>
          <w:rFonts w:ascii="宋体" w:hAnsi="宋体" w:cs="宋体"/>
          <w:color w:val="auto"/>
          <w:sz w:val="24"/>
          <w:szCs w:val="24"/>
        </w:rPr>
        <w:t>并携带相关资料及</w:t>
      </w:r>
      <w:r>
        <w:rPr>
          <w:rFonts w:hint="eastAsia" w:ascii="宋体" w:hAnsi="宋体"/>
          <w:color w:val="auto"/>
          <w:sz w:val="24"/>
        </w:rPr>
        <w:t>法定代表人及授权代表身份证复印件、</w:t>
      </w:r>
      <w:r>
        <w:rPr>
          <w:rFonts w:ascii="宋体" w:hAnsi="宋体" w:cs="宋体"/>
          <w:color w:val="auto"/>
          <w:sz w:val="24"/>
          <w:szCs w:val="24"/>
        </w:rPr>
        <w:t>营业执照副本复印件送达采购代理机构。采购代理机构有权要求质疑供应商提供</w:t>
      </w:r>
      <w:r>
        <w:rPr>
          <w:rFonts w:hint="eastAsia" w:ascii="宋体" w:hAnsi="宋体" w:cs="宋体"/>
          <w:color w:val="auto"/>
          <w:sz w:val="24"/>
          <w:szCs w:val="24"/>
        </w:rPr>
        <w:t>授权代表身份证、</w:t>
      </w:r>
      <w:r>
        <w:rPr>
          <w:rFonts w:ascii="宋体" w:hAnsi="宋体" w:cs="宋体"/>
          <w:color w:val="auto"/>
          <w:sz w:val="24"/>
          <w:szCs w:val="24"/>
        </w:rPr>
        <w:t>营业执照副本原件进行核查，质疑供应商若无法提供原件或与原件不符的，采购代理机构有权不予接收质疑书。质疑书须包含具体的质疑事项，并列明</w:t>
      </w:r>
      <w:r>
        <w:rPr>
          <w:rFonts w:hint="eastAsia" w:ascii="宋体" w:hAnsi="宋体" w:cs="宋体"/>
          <w:color w:val="auto"/>
          <w:sz w:val="24"/>
          <w:szCs w:val="24"/>
        </w:rPr>
        <w:t>招标文件</w:t>
      </w:r>
      <w:r>
        <w:rPr>
          <w:rFonts w:ascii="宋体" w:hAnsi="宋体" w:cs="宋体"/>
          <w:color w:val="auto"/>
          <w:sz w:val="24"/>
          <w:szCs w:val="24"/>
        </w:rPr>
        <w:t>、</w:t>
      </w:r>
      <w:r>
        <w:rPr>
          <w:rFonts w:hint="eastAsia" w:ascii="宋体" w:hAnsi="宋体" w:cs="宋体"/>
          <w:color w:val="auto"/>
          <w:sz w:val="24"/>
          <w:szCs w:val="24"/>
        </w:rPr>
        <w:t>招标</w:t>
      </w:r>
      <w:r>
        <w:rPr>
          <w:rFonts w:ascii="宋体" w:hAnsi="宋体" w:cs="宋体"/>
          <w:color w:val="auto"/>
          <w:sz w:val="24"/>
          <w:szCs w:val="24"/>
        </w:rPr>
        <w:t>过程、</w:t>
      </w:r>
      <w:r>
        <w:rPr>
          <w:rFonts w:hint="eastAsia" w:ascii="宋体" w:hAnsi="宋体" w:cs="宋体"/>
          <w:color w:val="auto"/>
          <w:sz w:val="24"/>
          <w:szCs w:val="24"/>
        </w:rPr>
        <w:t>中标</w:t>
      </w:r>
      <w:r>
        <w:rPr>
          <w:rFonts w:ascii="宋体" w:hAnsi="宋体" w:cs="宋体"/>
          <w:color w:val="auto"/>
          <w:sz w:val="24"/>
          <w:szCs w:val="24"/>
        </w:rPr>
        <w:t>结果使自己的合法权益受到损害的事实依据、理由及相关证明材料，质疑事项若属于有关法律、法规和规章规定处于保密阶段的事项，质疑供应商必须提供信息来源或有效证据。质疑供应商未按上述要求提交质疑的，采购代理机构有权不予接收受理。</w:t>
      </w:r>
      <w:r>
        <w:rPr>
          <w:rFonts w:hint="eastAsia" w:ascii="宋体" w:hAnsi="宋体" w:cs="宋体"/>
          <w:color w:val="auto"/>
          <w:sz w:val="24"/>
          <w:szCs w:val="24"/>
        </w:rPr>
        <w:t>质疑</w:t>
      </w:r>
      <w:r>
        <w:rPr>
          <w:rFonts w:ascii="宋体" w:hAnsi="宋体" w:cs="宋体"/>
          <w:color w:val="auto"/>
          <w:sz w:val="24"/>
          <w:szCs w:val="24"/>
        </w:rPr>
        <w:t>书</w:t>
      </w:r>
      <w:r>
        <w:rPr>
          <w:rFonts w:hint="eastAsia" w:ascii="宋体" w:hAnsi="宋体" w:cs="宋体"/>
          <w:color w:val="auto"/>
          <w:sz w:val="24"/>
          <w:szCs w:val="24"/>
        </w:rPr>
        <w:t>格式详见</w:t>
      </w:r>
      <w:r>
        <w:rPr>
          <w:rFonts w:hint="eastAsia" w:ascii="宋体" w:hAnsi="宋体" w:cs="宋体"/>
          <w:b/>
          <w:color w:val="auto"/>
          <w:sz w:val="24"/>
          <w:szCs w:val="24"/>
        </w:rPr>
        <w:t>附件2。</w:t>
      </w:r>
    </w:p>
    <w:p>
      <w:pPr>
        <w:adjustRightInd w:val="0"/>
        <w:snapToGrid w:val="0"/>
        <w:spacing w:line="360" w:lineRule="auto"/>
        <w:rPr>
          <w:rFonts w:ascii="宋体" w:hAnsi="宋体"/>
          <w:color w:val="auto"/>
          <w:sz w:val="24"/>
        </w:rPr>
      </w:pPr>
      <w:r>
        <w:rPr>
          <w:rFonts w:hint="eastAsia" w:ascii="宋体" w:hAnsi="宋体"/>
          <w:color w:val="auto"/>
          <w:sz w:val="24"/>
        </w:rPr>
        <w:t>24.招标项目行政监督部门</w:t>
      </w:r>
    </w:p>
    <w:p>
      <w:pPr>
        <w:adjustRightInd w:val="0"/>
        <w:snapToGrid w:val="0"/>
        <w:spacing w:line="360" w:lineRule="auto"/>
        <w:ind w:firstLine="420"/>
        <w:rPr>
          <w:rFonts w:ascii="宋体" w:hAnsi="宋体"/>
          <w:color w:val="auto"/>
          <w:sz w:val="24"/>
          <w:szCs w:val="24"/>
        </w:rPr>
      </w:pPr>
      <w:r>
        <w:rPr>
          <w:rFonts w:hint="eastAsia" w:ascii="宋体" w:hAnsi="宋体"/>
          <w:color w:val="auto"/>
          <w:sz w:val="24"/>
          <w:szCs w:val="24"/>
        </w:rPr>
        <w:t>24.1招标项目行政监督部门可视情依法派员对本招标活动的全程进行监督。</w:t>
      </w:r>
    </w:p>
    <w:p>
      <w:pPr>
        <w:adjustRightInd w:val="0"/>
        <w:snapToGrid w:val="0"/>
        <w:spacing w:line="360" w:lineRule="auto"/>
        <w:ind w:firstLine="420"/>
        <w:rPr>
          <w:rFonts w:ascii="宋体" w:hAnsi="宋体"/>
          <w:color w:val="auto"/>
          <w:sz w:val="24"/>
          <w:szCs w:val="24"/>
        </w:rPr>
      </w:pPr>
      <w:r>
        <w:rPr>
          <w:rFonts w:hint="eastAsia" w:ascii="宋体" w:hAnsi="宋体"/>
          <w:color w:val="auto"/>
          <w:sz w:val="24"/>
          <w:szCs w:val="24"/>
        </w:rPr>
        <w:t>24.2投标人如对招标活动有异议，可以按照有关规定向投标须知前附表第16项所述招标项目行政监督部门投诉。</w:t>
      </w:r>
    </w:p>
    <w:p>
      <w:pPr>
        <w:adjustRightInd w:val="0"/>
        <w:snapToGrid w:val="0"/>
        <w:spacing w:line="360" w:lineRule="auto"/>
        <w:jc w:val="center"/>
        <w:outlineLvl w:val="0"/>
        <w:rPr>
          <w:b/>
          <w:color w:val="auto"/>
          <w:sz w:val="36"/>
          <w:szCs w:val="36"/>
        </w:rPr>
      </w:pPr>
      <w:bookmarkStart w:id="36" w:name="_Toc352224155"/>
      <w:bookmarkStart w:id="37" w:name="_Toc277779957"/>
      <w:r>
        <w:rPr>
          <w:rFonts w:hint="eastAsia"/>
          <w:b/>
          <w:color w:val="auto"/>
          <w:sz w:val="36"/>
          <w:szCs w:val="36"/>
        </w:rPr>
        <w:br w:type="page"/>
      </w:r>
      <w:r>
        <w:rPr>
          <w:rFonts w:hint="eastAsia"/>
          <w:b/>
          <w:color w:val="auto"/>
          <w:sz w:val="36"/>
          <w:szCs w:val="36"/>
        </w:rPr>
        <w:t>第三章  招标内容及要求</w:t>
      </w:r>
      <w:bookmarkEnd w:id="36"/>
      <w:bookmarkEnd w:id="37"/>
    </w:p>
    <w:p>
      <w:pPr>
        <w:spacing w:line="360" w:lineRule="auto"/>
        <w:rPr>
          <w:rFonts w:ascii="宋体" w:hAnsi="宋体"/>
          <w:b/>
          <w:color w:val="auto"/>
          <w:sz w:val="24"/>
          <w:szCs w:val="24"/>
        </w:rPr>
      </w:pPr>
      <w:r>
        <w:rPr>
          <w:rFonts w:hint="eastAsia" w:ascii="宋体" w:hAnsi="宋体"/>
          <w:b/>
          <w:color w:val="auto"/>
          <w:sz w:val="24"/>
          <w:szCs w:val="24"/>
        </w:rPr>
        <w:t>一、概述</w:t>
      </w:r>
    </w:p>
    <w:p>
      <w:pPr>
        <w:spacing w:line="360" w:lineRule="auto"/>
        <w:ind w:firstLine="600" w:firstLineChars="250"/>
        <w:rPr>
          <w:rFonts w:ascii="宋体" w:hAnsi="宋体"/>
          <w:color w:val="auto"/>
          <w:sz w:val="24"/>
          <w:szCs w:val="24"/>
        </w:rPr>
      </w:pPr>
      <w:r>
        <w:rPr>
          <w:rFonts w:hint="eastAsia" w:ascii="宋体" w:hAnsi="宋体"/>
          <w:color w:val="auto"/>
          <w:sz w:val="24"/>
          <w:szCs w:val="24"/>
        </w:rPr>
        <w:t>1.1、本次福建省宁德市汽车运输集团有限公司保险采购项目为</w:t>
      </w:r>
      <w:r>
        <w:rPr>
          <w:rFonts w:ascii="宋体" w:hAnsi="宋体"/>
          <w:color w:val="auto"/>
          <w:sz w:val="24"/>
          <w:szCs w:val="24"/>
        </w:rPr>
        <w:t>2023年5月1日至2026年4月30日机动车辆保险服务项目</w:t>
      </w:r>
      <w:r>
        <w:rPr>
          <w:rFonts w:hint="eastAsia" w:ascii="宋体" w:hAnsi="宋体"/>
          <w:color w:val="auto"/>
          <w:sz w:val="24"/>
          <w:szCs w:val="24"/>
        </w:rPr>
        <w:t>，服务期限为：1+</w:t>
      </w:r>
      <w:r>
        <w:rPr>
          <w:rFonts w:ascii="宋体" w:hAnsi="宋体"/>
          <w:color w:val="auto"/>
          <w:sz w:val="24"/>
          <w:szCs w:val="24"/>
        </w:rPr>
        <w:t>1+1</w:t>
      </w:r>
      <w:r>
        <w:rPr>
          <w:rFonts w:hint="eastAsia" w:ascii="宋体" w:hAnsi="宋体"/>
          <w:color w:val="auto"/>
          <w:sz w:val="24"/>
          <w:szCs w:val="24"/>
        </w:rPr>
        <w:t>年，</w:t>
      </w:r>
      <w:r>
        <w:rPr>
          <w:rFonts w:ascii="宋体" w:hAnsi="宋体"/>
          <w:color w:val="auto"/>
          <w:sz w:val="24"/>
          <w:szCs w:val="24"/>
        </w:rPr>
        <w:t>拟分2个合同包进行招标，中标后具体投保以实际发生为准。本项目投保险种</w:t>
      </w:r>
      <w:r>
        <w:rPr>
          <w:rFonts w:hint="eastAsia" w:ascii="宋体" w:hAnsi="宋体"/>
          <w:color w:val="auto"/>
          <w:sz w:val="24"/>
          <w:szCs w:val="24"/>
        </w:rPr>
        <w:t>包括</w:t>
      </w:r>
      <w:r>
        <w:rPr>
          <w:rFonts w:hint="eastAsia" w:ascii="宋体" w:hAnsi="宋体" w:cs="宋体"/>
          <w:color w:val="auto"/>
          <w:sz w:val="24"/>
          <w:szCs w:val="24"/>
        </w:rPr>
        <w:t>车辆保险、承运险及安责险等业务</w:t>
      </w:r>
      <w:r>
        <w:rPr>
          <w:rFonts w:ascii="宋体" w:hAnsi="宋体"/>
          <w:color w:val="auto"/>
          <w:sz w:val="24"/>
          <w:szCs w:val="24"/>
        </w:rPr>
        <w:t>。</w:t>
      </w:r>
      <w:r>
        <w:rPr>
          <w:rFonts w:hint="eastAsia" w:ascii="宋体" w:hAnsi="宋体"/>
          <w:color w:val="auto"/>
          <w:sz w:val="24"/>
          <w:szCs w:val="24"/>
        </w:rPr>
        <w:t>投标人应根据招标文件所提出的服务要求，选择具有最佳性能价格比的方案前来投标，以充分显示贵公司的竞争实力。</w:t>
      </w:r>
    </w:p>
    <w:p>
      <w:pPr>
        <w:spacing w:line="360" w:lineRule="auto"/>
        <w:ind w:firstLine="600" w:firstLineChars="250"/>
        <w:rPr>
          <w:rFonts w:ascii="宋体" w:hAnsi="宋体"/>
          <w:color w:val="auto"/>
          <w:sz w:val="24"/>
          <w:szCs w:val="24"/>
        </w:rPr>
      </w:pPr>
      <w:r>
        <w:rPr>
          <w:rFonts w:hint="eastAsia" w:ascii="宋体" w:hAnsi="宋体"/>
          <w:color w:val="auto"/>
          <w:sz w:val="24"/>
          <w:szCs w:val="24"/>
        </w:rPr>
        <w:t>1.2、福建省宁德市汽车运输集团有限公司始建于1956年1月，2013年改制为国有法人独资企业，拥有道路旅客运输一级资质和道路货物运输二级资质，为交通运输部重点联系道路运输企业。连续十年被中国道路运输协会评为“中国道路运输百强诚信企业”。</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1.3、公司核心业务为旅客道路运输、出租车运输、公交运输、旅游运输、货运代理、普通货物运输、集装箱运输、客货运站（场）经营、同时涉及三级危险品运输、仓储配送、汽车维修检测、驾驶培训、油料供应等。</w:t>
      </w:r>
    </w:p>
    <w:p>
      <w:pPr>
        <w:pStyle w:val="2"/>
        <w:spacing w:line="360" w:lineRule="auto"/>
        <w:ind w:firstLine="480" w:firstLineChars="200"/>
        <w:rPr>
          <w:rFonts w:ascii="宋体" w:hAnsi="宋体"/>
          <w:color w:val="auto"/>
          <w:kern w:val="2"/>
          <w:sz w:val="24"/>
          <w:szCs w:val="24"/>
        </w:rPr>
      </w:pPr>
      <w:r>
        <w:rPr>
          <w:rFonts w:hint="eastAsia" w:ascii="宋体" w:hAnsi="宋体"/>
          <w:color w:val="auto"/>
          <w:sz w:val="24"/>
          <w:szCs w:val="24"/>
        </w:rPr>
        <w:t>1.4、</w:t>
      </w:r>
      <w:r>
        <w:rPr>
          <w:rFonts w:hint="eastAsia" w:ascii="宋体" w:hAnsi="宋体"/>
          <w:color w:val="auto"/>
          <w:kern w:val="2"/>
          <w:sz w:val="24"/>
          <w:szCs w:val="24"/>
        </w:rPr>
        <w:t>本项目分为 2 个合同包，投标人可对其中一个或者所有合同包进行投标及报价，但一个投标人只能成为其中 1 个合同包的中标人。推荐中标候选人从第一个合同包开始推荐，如投标人已推荐为合同包 1 的中标候选人，在合同包 2中即使综合得分高于其他投标人，仍不再被推荐为该合同包的中标候选人，中标候选人由次高的投标人获得推荐，各投标人须对此条款进行专项承诺，未按此条款进行专项承诺的，按无效投标处理。</w:t>
      </w:r>
    </w:p>
    <w:p>
      <w:pPr>
        <w:spacing w:line="360" w:lineRule="auto"/>
        <w:ind w:firstLine="360" w:firstLineChars="150"/>
        <w:rPr>
          <w:rFonts w:ascii="宋体" w:hAnsi="宋体" w:cs="宋体"/>
          <w:bCs/>
          <w:color w:val="auto"/>
          <w:sz w:val="24"/>
          <w:szCs w:val="22"/>
        </w:rPr>
      </w:pPr>
      <w:r>
        <w:rPr>
          <w:rFonts w:hint="eastAsia" w:ascii="宋体" w:hAnsi="宋体"/>
          <w:color w:val="auto"/>
          <w:sz w:val="24"/>
          <w:szCs w:val="24"/>
        </w:rPr>
        <w:t>1.5、</w:t>
      </w:r>
      <w:r>
        <w:rPr>
          <w:rFonts w:hint="eastAsia" w:ascii="宋体" w:hAnsi="宋体" w:cs="宋体"/>
          <w:bCs/>
          <w:color w:val="auto"/>
          <w:sz w:val="24"/>
          <w:szCs w:val="22"/>
        </w:rPr>
        <w:t>投保车辆信息</w:t>
      </w:r>
    </w:p>
    <w:p>
      <w:pPr>
        <w:pStyle w:val="2"/>
        <w:rPr>
          <w:rFonts w:ascii="宋体" w:hAnsi="宋体" w:cs="宋体"/>
          <w:bCs/>
          <w:color w:val="auto"/>
          <w:kern w:val="2"/>
          <w:sz w:val="24"/>
          <w:szCs w:val="22"/>
        </w:rPr>
      </w:pPr>
      <w:r>
        <w:rPr>
          <w:rFonts w:hint="eastAsia" w:ascii="宋体" w:hAnsi="宋体" w:cs="宋体"/>
          <w:bCs/>
          <w:color w:val="auto"/>
          <w:kern w:val="2"/>
          <w:sz w:val="24"/>
          <w:szCs w:val="22"/>
        </w:rPr>
        <w:t>合同包1：</w:t>
      </w:r>
    </w:p>
    <w:tbl>
      <w:tblPr>
        <w:tblStyle w:val="37"/>
        <w:tblW w:w="7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2369"/>
        <w:gridCol w:w="1276"/>
        <w:gridCol w:w="127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58"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片区</w:t>
            </w:r>
          </w:p>
        </w:tc>
        <w:tc>
          <w:tcPr>
            <w:tcW w:w="2369"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险种</w:t>
            </w:r>
          </w:p>
        </w:tc>
        <w:tc>
          <w:tcPr>
            <w:tcW w:w="127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车类</w:t>
            </w:r>
          </w:p>
        </w:tc>
        <w:tc>
          <w:tcPr>
            <w:tcW w:w="127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车辆数</w:t>
            </w:r>
          </w:p>
        </w:tc>
        <w:tc>
          <w:tcPr>
            <w:tcW w:w="1843"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座位数或人数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58" w:type="dxa"/>
            <w:vMerge w:val="restart"/>
            <w:vAlign w:val="center"/>
          </w:tcPr>
          <w:p>
            <w:pPr>
              <w:rPr>
                <w:rFonts w:ascii="宋体" w:hAnsi="宋体" w:cs="宋体"/>
                <w:color w:val="auto"/>
                <w:sz w:val="24"/>
                <w:szCs w:val="24"/>
              </w:rPr>
            </w:pPr>
            <w:r>
              <w:rPr>
                <w:rFonts w:hint="eastAsia" w:ascii="宋体" w:hAnsi="宋体" w:cs="宋体"/>
                <w:color w:val="auto"/>
                <w:sz w:val="24"/>
              </w:rPr>
              <w:t>福安、寿宁、柘荣、周宁、福鼎</w:t>
            </w:r>
          </w:p>
        </w:tc>
        <w:tc>
          <w:tcPr>
            <w:tcW w:w="2369" w:type="dxa"/>
            <w:vMerge w:val="restart"/>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交强险</w:t>
            </w:r>
          </w:p>
        </w:tc>
        <w:tc>
          <w:tcPr>
            <w:tcW w:w="1276" w:type="dxa"/>
            <w:vAlign w:val="center"/>
          </w:tcPr>
          <w:p>
            <w:pPr>
              <w:spacing w:line="360" w:lineRule="auto"/>
              <w:jc w:val="center"/>
              <w:rPr>
                <w:rFonts w:ascii="宋体" w:hAnsi="宋体" w:cs="宋体"/>
                <w:bCs/>
                <w:color w:val="auto"/>
                <w:sz w:val="24"/>
                <w:szCs w:val="22"/>
              </w:rPr>
            </w:pPr>
            <w:r>
              <w:rPr>
                <w:rFonts w:hint="eastAsia" w:ascii="宋体" w:hAnsi="宋体" w:cs="宋体"/>
                <w:bCs/>
                <w:color w:val="auto"/>
                <w:sz w:val="24"/>
                <w:szCs w:val="22"/>
              </w:rPr>
              <w:t>客车</w:t>
            </w:r>
          </w:p>
        </w:tc>
        <w:tc>
          <w:tcPr>
            <w:tcW w:w="127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598</w:t>
            </w:r>
          </w:p>
        </w:tc>
        <w:tc>
          <w:tcPr>
            <w:tcW w:w="1843" w:type="dxa"/>
            <w:vAlign w:val="center"/>
          </w:tcPr>
          <w:p>
            <w:pPr>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858" w:type="dxa"/>
            <w:vMerge w:val="continue"/>
            <w:vAlign w:val="center"/>
          </w:tcPr>
          <w:p>
            <w:pPr>
              <w:spacing w:line="360" w:lineRule="auto"/>
              <w:jc w:val="center"/>
              <w:rPr>
                <w:rFonts w:ascii="宋体" w:hAnsi="宋体" w:cs="宋体"/>
                <w:color w:val="auto"/>
                <w:sz w:val="24"/>
                <w:szCs w:val="24"/>
              </w:rPr>
            </w:pPr>
          </w:p>
        </w:tc>
        <w:tc>
          <w:tcPr>
            <w:tcW w:w="2369" w:type="dxa"/>
            <w:vMerge w:val="continue"/>
            <w:vAlign w:val="center"/>
          </w:tcPr>
          <w:p>
            <w:pPr>
              <w:spacing w:line="360" w:lineRule="auto"/>
              <w:jc w:val="center"/>
              <w:rPr>
                <w:rFonts w:ascii="宋体" w:hAnsi="宋体" w:cs="宋体"/>
                <w:color w:val="auto"/>
                <w:sz w:val="24"/>
                <w:szCs w:val="24"/>
              </w:rPr>
            </w:pPr>
          </w:p>
        </w:tc>
        <w:tc>
          <w:tcPr>
            <w:tcW w:w="1276" w:type="dxa"/>
            <w:vAlign w:val="center"/>
          </w:tcPr>
          <w:p>
            <w:pPr>
              <w:spacing w:line="360" w:lineRule="auto"/>
              <w:jc w:val="center"/>
              <w:rPr>
                <w:rFonts w:ascii="宋体" w:hAnsi="宋体" w:cs="宋体"/>
                <w:bCs/>
                <w:color w:val="auto"/>
                <w:sz w:val="24"/>
                <w:szCs w:val="22"/>
              </w:rPr>
            </w:pPr>
            <w:r>
              <w:rPr>
                <w:rFonts w:hint="eastAsia" w:ascii="宋体" w:hAnsi="宋体" w:cs="宋体"/>
                <w:bCs/>
                <w:color w:val="auto"/>
                <w:sz w:val="24"/>
                <w:szCs w:val="22"/>
              </w:rPr>
              <w:t>出租车</w:t>
            </w:r>
          </w:p>
        </w:tc>
        <w:tc>
          <w:tcPr>
            <w:tcW w:w="127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41</w:t>
            </w:r>
          </w:p>
        </w:tc>
        <w:tc>
          <w:tcPr>
            <w:tcW w:w="1843" w:type="dxa"/>
            <w:vAlign w:val="center"/>
          </w:tcPr>
          <w:p>
            <w:pPr>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858" w:type="dxa"/>
            <w:vMerge w:val="continue"/>
            <w:vAlign w:val="center"/>
          </w:tcPr>
          <w:p>
            <w:pPr>
              <w:spacing w:line="360" w:lineRule="auto"/>
              <w:jc w:val="center"/>
              <w:rPr>
                <w:rFonts w:ascii="宋体" w:hAnsi="宋体" w:cs="宋体"/>
                <w:color w:val="auto"/>
                <w:sz w:val="24"/>
                <w:szCs w:val="24"/>
              </w:rPr>
            </w:pPr>
          </w:p>
        </w:tc>
        <w:tc>
          <w:tcPr>
            <w:tcW w:w="2369" w:type="dxa"/>
            <w:vMerge w:val="continue"/>
            <w:vAlign w:val="center"/>
          </w:tcPr>
          <w:p>
            <w:pPr>
              <w:spacing w:line="360" w:lineRule="auto"/>
              <w:jc w:val="center"/>
              <w:rPr>
                <w:rFonts w:ascii="宋体" w:hAnsi="宋体" w:cs="宋体"/>
                <w:color w:val="auto"/>
                <w:sz w:val="24"/>
                <w:szCs w:val="24"/>
              </w:rPr>
            </w:pPr>
          </w:p>
        </w:tc>
        <w:tc>
          <w:tcPr>
            <w:tcW w:w="127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货车</w:t>
            </w:r>
          </w:p>
        </w:tc>
        <w:tc>
          <w:tcPr>
            <w:tcW w:w="127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48</w:t>
            </w:r>
          </w:p>
        </w:tc>
        <w:tc>
          <w:tcPr>
            <w:tcW w:w="1843" w:type="dxa"/>
            <w:vAlign w:val="center"/>
          </w:tcPr>
          <w:p>
            <w:pPr>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858" w:type="dxa"/>
            <w:vMerge w:val="continue"/>
            <w:vAlign w:val="center"/>
          </w:tcPr>
          <w:p>
            <w:pPr>
              <w:spacing w:line="360" w:lineRule="auto"/>
              <w:jc w:val="center"/>
              <w:rPr>
                <w:rFonts w:ascii="宋体" w:hAnsi="宋体" w:cs="宋体"/>
                <w:color w:val="auto"/>
                <w:sz w:val="24"/>
                <w:szCs w:val="24"/>
              </w:rPr>
            </w:pPr>
          </w:p>
        </w:tc>
        <w:tc>
          <w:tcPr>
            <w:tcW w:w="2369" w:type="dxa"/>
            <w:vMerge w:val="restart"/>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第三者责任险</w:t>
            </w:r>
          </w:p>
        </w:tc>
        <w:tc>
          <w:tcPr>
            <w:tcW w:w="127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客车</w:t>
            </w:r>
          </w:p>
        </w:tc>
        <w:tc>
          <w:tcPr>
            <w:tcW w:w="127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598</w:t>
            </w:r>
          </w:p>
        </w:tc>
        <w:tc>
          <w:tcPr>
            <w:tcW w:w="1843" w:type="dxa"/>
            <w:vAlign w:val="center"/>
          </w:tcPr>
          <w:p>
            <w:pPr>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858" w:type="dxa"/>
            <w:vMerge w:val="continue"/>
            <w:vAlign w:val="center"/>
          </w:tcPr>
          <w:p>
            <w:pPr>
              <w:spacing w:line="360" w:lineRule="auto"/>
              <w:jc w:val="center"/>
              <w:rPr>
                <w:rFonts w:ascii="宋体" w:hAnsi="宋体" w:cs="宋体"/>
                <w:color w:val="auto"/>
                <w:sz w:val="24"/>
                <w:szCs w:val="24"/>
              </w:rPr>
            </w:pPr>
          </w:p>
        </w:tc>
        <w:tc>
          <w:tcPr>
            <w:tcW w:w="2369" w:type="dxa"/>
            <w:vMerge w:val="continue"/>
            <w:vAlign w:val="center"/>
          </w:tcPr>
          <w:p>
            <w:pPr>
              <w:spacing w:line="360" w:lineRule="auto"/>
              <w:jc w:val="center"/>
              <w:rPr>
                <w:rFonts w:ascii="宋体" w:hAnsi="宋体" w:cs="宋体"/>
                <w:color w:val="auto"/>
                <w:sz w:val="24"/>
                <w:szCs w:val="24"/>
              </w:rPr>
            </w:pPr>
          </w:p>
        </w:tc>
        <w:tc>
          <w:tcPr>
            <w:tcW w:w="127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出租车</w:t>
            </w:r>
          </w:p>
        </w:tc>
        <w:tc>
          <w:tcPr>
            <w:tcW w:w="127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41</w:t>
            </w:r>
          </w:p>
        </w:tc>
        <w:tc>
          <w:tcPr>
            <w:tcW w:w="1843" w:type="dxa"/>
            <w:vAlign w:val="center"/>
          </w:tcPr>
          <w:p>
            <w:pPr>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858" w:type="dxa"/>
            <w:vMerge w:val="continue"/>
            <w:vAlign w:val="center"/>
          </w:tcPr>
          <w:p>
            <w:pPr>
              <w:spacing w:line="360" w:lineRule="auto"/>
              <w:jc w:val="center"/>
              <w:rPr>
                <w:rFonts w:ascii="宋体" w:hAnsi="宋体" w:cs="宋体"/>
                <w:color w:val="auto"/>
                <w:sz w:val="24"/>
                <w:szCs w:val="24"/>
              </w:rPr>
            </w:pPr>
          </w:p>
        </w:tc>
        <w:tc>
          <w:tcPr>
            <w:tcW w:w="2369" w:type="dxa"/>
            <w:vMerge w:val="continue"/>
            <w:vAlign w:val="center"/>
          </w:tcPr>
          <w:p>
            <w:pPr>
              <w:spacing w:line="360" w:lineRule="auto"/>
              <w:jc w:val="center"/>
              <w:rPr>
                <w:rFonts w:ascii="宋体" w:hAnsi="宋体" w:cs="宋体"/>
                <w:color w:val="auto"/>
                <w:sz w:val="24"/>
                <w:szCs w:val="24"/>
              </w:rPr>
            </w:pPr>
          </w:p>
        </w:tc>
        <w:tc>
          <w:tcPr>
            <w:tcW w:w="127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货车</w:t>
            </w:r>
          </w:p>
        </w:tc>
        <w:tc>
          <w:tcPr>
            <w:tcW w:w="127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48</w:t>
            </w:r>
          </w:p>
        </w:tc>
        <w:tc>
          <w:tcPr>
            <w:tcW w:w="1843" w:type="dxa"/>
            <w:vAlign w:val="center"/>
          </w:tcPr>
          <w:p>
            <w:pPr>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858" w:type="dxa"/>
            <w:vMerge w:val="continue"/>
            <w:vAlign w:val="center"/>
          </w:tcPr>
          <w:p>
            <w:pPr>
              <w:spacing w:line="360" w:lineRule="auto"/>
              <w:jc w:val="center"/>
              <w:rPr>
                <w:rFonts w:ascii="宋体" w:hAnsi="宋体" w:cs="宋体"/>
                <w:color w:val="auto"/>
                <w:sz w:val="24"/>
                <w:szCs w:val="24"/>
              </w:rPr>
            </w:pPr>
          </w:p>
        </w:tc>
        <w:tc>
          <w:tcPr>
            <w:tcW w:w="2369"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道路承运人</w:t>
            </w:r>
          </w:p>
          <w:p>
            <w:pPr>
              <w:spacing w:line="360" w:lineRule="auto"/>
              <w:jc w:val="center"/>
              <w:rPr>
                <w:rFonts w:ascii="宋体" w:hAnsi="宋体" w:cs="宋体"/>
                <w:color w:val="auto"/>
                <w:sz w:val="24"/>
                <w:szCs w:val="24"/>
              </w:rPr>
            </w:pPr>
            <w:r>
              <w:rPr>
                <w:rFonts w:hint="eastAsia" w:ascii="宋体" w:hAnsi="宋体" w:cs="宋体"/>
                <w:color w:val="auto"/>
                <w:sz w:val="24"/>
                <w:szCs w:val="24"/>
              </w:rPr>
              <w:t>责任险</w:t>
            </w:r>
          </w:p>
        </w:tc>
        <w:tc>
          <w:tcPr>
            <w:tcW w:w="1276" w:type="dxa"/>
            <w:vAlign w:val="center"/>
          </w:tcPr>
          <w:p>
            <w:pPr>
              <w:spacing w:line="360" w:lineRule="auto"/>
              <w:jc w:val="center"/>
              <w:rPr>
                <w:rFonts w:ascii="宋体" w:hAnsi="宋体" w:cs="宋体"/>
                <w:color w:val="auto"/>
                <w:sz w:val="24"/>
                <w:szCs w:val="24"/>
              </w:rPr>
            </w:pPr>
          </w:p>
        </w:tc>
        <w:tc>
          <w:tcPr>
            <w:tcW w:w="1275" w:type="dxa"/>
            <w:vAlign w:val="center"/>
          </w:tcPr>
          <w:p>
            <w:pPr>
              <w:spacing w:line="360" w:lineRule="auto"/>
              <w:jc w:val="center"/>
              <w:rPr>
                <w:rFonts w:ascii="宋体" w:hAnsi="宋体" w:cs="宋体"/>
                <w:color w:val="auto"/>
                <w:sz w:val="24"/>
                <w:szCs w:val="24"/>
              </w:rPr>
            </w:pPr>
          </w:p>
        </w:tc>
        <w:tc>
          <w:tcPr>
            <w:tcW w:w="1843"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9698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58" w:type="dxa"/>
            <w:vMerge w:val="continue"/>
            <w:vAlign w:val="center"/>
          </w:tcPr>
          <w:p>
            <w:pPr>
              <w:spacing w:line="360" w:lineRule="auto"/>
              <w:jc w:val="center"/>
              <w:rPr>
                <w:rFonts w:ascii="宋体" w:hAnsi="宋体" w:cs="宋体"/>
                <w:color w:val="auto"/>
                <w:sz w:val="24"/>
                <w:szCs w:val="24"/>
              </w:rPr>
            </w:pPr>
          </w:p>
        </w:tc>
        <w:tc>
          <w:tcPr>
            <w:tcW w:w="2369" w:type="dxa"/>
            <w:vMerge w:val="restart"/>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安全生产责任险</w:t>
            </w:r>
          </w:p>
        </w:tc>
        <w:tc>
          <w:tcPr>
            <w:tcW w:w="127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外勤人员</w:t>
            </w:r>
          </w:p>
        </w:tc>
        <w:tc>
          <w:tcPr>
            <w:tcW w:w="1275" w:type="dxa"/>
            <w:vAlign w:val="center"/>
          </w:tcPr>
          <w:p>
            <w:pPr>
              <w:spacing w:line="360" w:lineRule="auto"/>
              <w:jc w:val="center"/>
              <w:rPr>
                <w:rFonts w:ascii="宋体" w:hAnsi="宋体" w:cs="宋体"/>
                <w:color w:val="auto"/>
                <w:sz w:val="24"/>
                <w:szCs w:val="24"/>
              </w:rPr>
            </w:pPr>
          </w:p>
        </w:tc>
        <w:tc>
          <w:tcPr>
            <w:tcW w:w="1843"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58" w:type="dxa"/>
            <w:vMerge w:val="continue"/>
            <w:vAlign w:val="center"/>
          </w:tcPr>
          <w:p>
            <w:pPr>
              <w:spacing w:line="360" w:lineRule="auto"/>
              <w:jc w:val="center"/>
              <w:rPr>
                <w:rFonts w:ascii="宋体" w:hAnsi="宋体" w:cs="宋体"/>
                <w:color w:val="auto"/>
                <w:sz w:val="24"/>
                <w:szCs w:val="24"/>
              </w:rPr>
            </w:pPr>
          </w:p>
        </w:tc>
        <w:tc>
          <w:tcPr>
            <w:tcW w:w="2369" w:type="dxa"/>
            <w:vMerge w:val="continue"/>
            <w:vAlign w:val="center"/>
          </w:tcPr>
          <w:p>
            <w:pPr>
              <w:spacing w:line="360" w:lineRule="auto"/>
              <w:jc w:val="center"/>
              <w:rPr>
                <w:rFonts w:ascii="宋体" w:hAnsi="宋体" w:cs="宋体"/>
                <w:color w:val="auto"/>
                <w:sz w:val="24"/>
                <w:szCs w:val="24"/>
              </w:rPr>
            </w:pPr>
          </w:p>
        </w:tc>
        <w:tc>
          <w:tcPr>
            <w:tcW w:w="127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内勤人员</w:t>
            </w:r>
          </w:p>
        </w:tc>
        <w:tc>
          <w:tcPr>
            <w:tcW w:w="1275" w:type="dxa"/>
            <w:vAlign w:val="center"/>
          </w:tcPr>
          <w:p>
            <w:pPr>
              <w:spacing w:line="360" w:lineRule="auto"/>
              <w:jc w:val="center"/>
              <w:rPr>
                <w:rFonts w:ascii="宋体" w:hAnsi="宋体" w:cs="宋体"/>
                <w:color w:val="auto"/>
                <w:sz w:val="24"/>
                <w:szCs w:val="24"/>
              </w:rPr>
            </w:pPr>
          </w:p>
        </w:tc>
        <w:tc>
          <w:tcPr>
            <w:tcW w:w="1843"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815</w:t>
            </w:r>
          </w:p>
        </w:tc>
      </w:tr>
    </w:tbl>
    <w:p>
      <w:pPr>
        <w:pStyle w:val="2"/>
        <w:spacing w:line="360" w:lineRule="auto"/>
        <w:ind w:firstLine="480" w:firstLineChars="200"/>
        <w:rPr>
          <w:rFonts w:ascii="宋体" w:hAnsi="宋体"/>
          <w:color w:val="auto"/>
          <w:kern w:val="2"/>
          <w:sz w:val="24"/>
          <w:szCs w:val="24"/>
        </w:rPr>
      </w:pPr>
      <w:r>
        <w:rPr>
          <w:rFonts w:hint="eastAsia" w:ascii="宋体" w:hAnsi="宋体"/>
          <w:color w:val="auto"/>
          <w:kern w:val="2"/>
          <w:sz w:val="24"/>
          <w:szCs w:val="24"/>
        </w:rPr>
        <w:t>合同包2：</w:t>
      </w:r>
    </w:p>
    <w:tbl>
      <w:tblPr>
        <w:tblStyle w:val="37"/>
        <w:tblW w:w="7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2369"/>
        <w:gridCol w:w="1276"/>
        <w:gridCol w:w="127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58"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片区</w:t>
            </w:r>
          </w:p>
        </w:tc>
        <w:tc>
          <w:tcPr>
            <w:tcW w:w="2369"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险种</w:t>
            </w:r>
          </w:p>
        </w:tc>
        <w:tc>
          <w:tcPr>
            <w:tcW w:w="127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车类</w:t>
            </w:r>
          </w:p>
        </w:tc>
        <w:tc>
          <w:tcPr>
            <w:tcW w:w="127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车辆数</w:t>
            </w:r>
          </w:p>
        </w:tc>
        <w:tc>
          <w:tcPr>
            <w:tcW w:w="1843"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座位数或人数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58" w:type="dxa"/>
            <w:vMerge w:val="restart"/>
            <w:vAlign w:val="center"/>
          </w:tcPr>
          <w:p>
            <w:pPr>
              <w:rPr>
                <w:rFonts w:ascii="宋体" w:hAnsi="宋体" w:cs="宋体"/>
                <w:color w:val="auto"/>
                <w:sz w:val="24"/>
                <w:szCs w:val="24"/>
              </w:rPr>
            </w:pPr>
            <w:r>
              <w:rPr>
                <w:rFonts w:hint="eastAsia" w:ascii="宋体" w:hAnsi="宋体" w:cs="宋体"/>
                <w:color w:val="auto"/>
                <w:sz w:val="24"/>
              </w:rPr>
              <w:t>宁德、古田、屏南、霞浦</w:t>
            </w:r>
          </w:p>
        </w:tc>
        <w:tc>
          <w:tcPr>
            <w:tcW w:w="2369" w:type="dxa"/>
            <w:vMerge w:val="restart"/>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交强险</w:t>
            </w:r>
          </w:p>
        </w:tc>
        <w:tc>
          <w:tcPr>
            <w:tcW w:w="1276" w:type="dxa"/>
            <w:vAlign w:val="center"/>
          </w:tcPr>
          <w:p>
            <w:pPr>
              <w:spacing w:line="360" w:lineRule="auto"/>
              <w:jc w:val="center"/>
              <w:rPr>
                <w:rFonts w:ascii="宋体" w:hAnsi="宋体" w:cs="宋体"/>
                <w:bCs/>
                <w:color w:val="auto"/>
                <w:sz w:val="24"/>
                <w:szCs w:val="22"/>
              </w:rPr>
            </w:pPr>
            <w:r>
              <w:rPr>
                <w:rFonts w:hint="eastAsia" w:ascii="宋体" w:hAnsi="宋体" w:cs="宋体"/>
                <w:bCs/>
                <w:color w:val="auto"/>
                <w:sz w:val="24"/>
                <w:szCs w:val="22"/>
              </w:rPr>
              <w:t>客车</w:t>
            </w:r>
          </w:p>
        </w:tc>
        <w:tc>
          <w:tcPr>
            <w:tcW w:w="127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768</w:t>
            </w:r>
          </w:p>
        </w:tc>
        <w:tc>
          <w:tcPr>
            <w:tcW w:w="1843" w:type="dxa"/>
            <w:vAlign w:val="center"/>
          </w:tcPr>
          <w:p>
            <w:pPr>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858" w:type="dxa"/>
            <w:vMerge w:val="continue"/>
            <w:vAlign w:val="center"/>
          </w:tcPr>
          <w:p>
            <w:pPr>
              <w:spacing w:line="360" w:lineRule="auto"/>
              <w:jc w:val="center"/>
              <w:rPr>
                <w:rFonts w:ascii="宋体" w:hAnsi="宋体" w:cs="宋体"/>
                <w:color w:val="auto"/>
                <w:sz w:val="24"/>
                <w:szCs w:val="24"/>
              </w:rPr>
            </w:pPr>
          </w:p>
        </w:tc>
        <w:tc>
          <w:tcPr>
            <w:tcW w:w="2369" w:type="dxa"/>
            <w:vMerge w:val="continue"/>
            <w:vAlign w:val="center"/>
          </w:tcPr>
          <w:p>
            <w:pPr>
              <w:spacing w:line="360" w:lineRule="auto"/>
              <w:jc w:val="center"/>
              <w:rPr>
                <w:rFonts w:ascii="宋体" w:hAnsi="宋体" w:cs="宋体"/>
                <w:color w:val="auto"/>
                <w:sz w:val="24"/>
                <w:szCs w:val="24"/>
              </w:rPr>
            </w:pPr>
          </w:p>
        </w:tc>
        <w:tc>
          <w:tcPr>
            <w:tcW w:w="1276" w:type="dxa"/>
            <w:vAlign w:val="center"/>
          </w:tcPr>
          <w:p>
            <w:pPr>
              <w:spacing w:line="360" w:lineRule="auto"/>
              <w:jc w:val="center"/>
              <w:rPr>
                <w:rFonts w:ascii="宋体" w:hAnsi="宋体" w:cs="宋体"/>
                <w:bCs/>
                <w:color w:val="auto"/>
                <w:sz w:val="24"/>
                <w:szCs w:val="22"/>
              </w:rPr>
            </w:pPr>
            <w:r>
              <w:rPr>
                <w:rFonts w:hint="eastAsia" w:ascii="宋体" w:hAnsi="宋体" w:cs="宋体"/>
                <w:bCs/>
                <w:color w:val="auto"/>
                <w:sz w:val="24"/>
                <w:szCs w:val="22"/>
              </w:rPr>
              <w:t>出租车</w:t>
            </w:r>
          </w:p>
        </w:tc>
        <w:tc>
          <w:tcPr>
            <w:tcW w:w="127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339</w:t>
            </w:r>
          </w:p>
        </w:tc>
        <w:tc>
          <w:tcPr>
            <w:tcW w:w="1843" w:type="dxa"/>
            <w:vAlign w:val="center"/>
          </w:tcPr>
          <w:p>
            <w:pPr>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858" w:type="dxa"/>
            <w:vMerge w:val="continue"/>
            <w:vAlign w:val="center"/>
          </w:tcPr>
          <w:p>
            <w:pPr>
              <w:spacing w:line="360" w:lineRule="auto"/>
              <w:jc w:val="center"/>
              <w:rPr>
                <w:rFonts w:ascii="宋体" w:hAnsi="宋体" w:cs="宋体"/>
                <w:color w:val="auto"/>
                <w:sz w:val="24"/>
                <w:szCs w:val="24"/>
              </w:rPr>
            </w:pPr>
          </w:p>
        </w:tc>
        <w:tc>
          <w:tcPr>
            <w:tcW w:w="2369" w:type="dxa"/>
            <w:vMerge w:val="continue"/>
            <w:vAlign w:val="center"/>
          </w:tcPr>
          <w:p>
            <w:pPr>
              <w:spacing w:line="360" w:lineRule="auto"/>
              <w:jc w:val="center"/>
              <w:rPr>
                <w:rFonts w:ascii="宋体" w:hAnsi="宋体" w:cs="宋体"/>
                <w:color w:val="auto"/>
                <w:sz w:val="24"/>
                <w:szCs w:val="24"/>
              </w:rPr>
            </w:pPr>
          </w:p>
        </w:tc>
        <w:tc>
          <w:tcPr>
            <w:tcW w:w="127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货车</w:t>
            </w:r>
          </w:p>
        </w:tc>
        <w:tc>
          <w:tcPr>
            <w:tcW w:w="127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19</w:t>
            </w:r>
          </w:p>
        </w:tc>
        <w:tc>
          <w:tcPr>
            <w:tcW w:w="1843" w:type="dxa"/>
            <w:vAlign w:val="center"/>
          </w:tcPr>
          <w:p>
            <w:pPr>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858" w:type="dxa"/>
            <w:vMerge w:val="continue"/>
            <w:vAlign w:val="center"/>
          </w:tcPr>
          <w:p>
            <w:pPr>
              <w:spacing w:line="360" w:lineRule="auto"/>
              <w:jc w:val="center"/>
              <w:rPr>
                <w:rFonts w:ascii="宋体" w:hAnsi="宋体" w:cs="宋体"/>
                <w:color w:val="auto"/>
                <w:sz w:val="24"/>
                <w:szCs w:val="24"/>
              </w:rPr>
            </w:pPr>
          </w:p>
        </w:tc>
        <w:tc>
          <w:tcPr>
            <w:tcW w:w="2369" w:type="dxa"/>
            <w:vMerge w:val="restart"/>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第三者责任险</w:t>
            </w:r>
          </w:p>
        </w:tc>
        <w:tc>
          <w:tcPr>
            <w:tcW w:w="127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客车</w:t>
            </w:r>
          </w:p>
        </w:tc>
        <w:tc>
          <w:tcPr>
            <w:tcW w:w="127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768</w:t>
            </w:r>
          </w:p>
        </w:tc>
        <w:tc>
          <w:tcPr>
            <w:tcW w:w="1843" w:type="dxa"/>
            <w:vAlign w:val="center"/>
          </w:tcPr>
          <w:p>
            <w:pPr>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858" w:type="dxa"/>
            <w:vMerge w:val="continue"/>
            <w:vAlign w:val="center"/>
          </w:tcPr>
          <w:p>
            <w:pPr>
              <w:spacing w:line="360" w:lineRule="auto"/>
              <w:jc w:val="center"/>
              <w:rPr>
                <w:rFonts w:ascii="宋体" w:hAnsi="宋体" w:cs="宋体"/>
                <w:color w:val="auto"/>
                <w:sz w:val="24"/>
                <w:szCs w:val="24"/>
              </w:rPr>
            </w:pPr>
          </w:p>
        </w:tc>
        <w:tc>
          <w:tcPr>
            <w:tcW w:w="2369" w:type="dxa"/>
            <w:vMerge w:val="continue"/>
            <w:vAlign w:val="center"/>
          </w:tcPr>
          <w:p>
            <w:pPr>
              <w:spacing w:line="360" w:lineRule="auto"/>
              <w:jc w:val="center"/>
              <w:rPr>
                <w:rFonts w:ascii="宋体" w:hAnsi="宋体" w:cs="宋体"/>
                <w:color w:val="auto"/>
                <w:sz w:val="24"/>
                <w:szCs w:val="24"/>
              </w:rPr>
            </w:pPr>
          </w:p>
        </w:tc>
        <w:tc>
          <w:tcPr>
            <w:tcW w:w="127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出租车</w:t>
            </w:r>
          </w:p>
        </w:tc>
        <w:tc>
          <w:tcPr>
            <w:tcW w:w="127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339</w:t>
            </w:r>
          </w:p>
        </w:tc>
        <w:tc>
          <w:tcPr>
            <w:tcW w:w="1843" w:type="dxa"/>
            <w:vAlign w:val="center"/>
          </w:tcPr>
          <w:p>
            <w:pPr>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858" w:type="dxa"/>
            <w:vMerge w:val="continue"/>
            <w:vAlign w:val="center"/>
          </w:tcPr>
          <w:p>
            <w:pPr>
              <w:spacing w:line="360" w:lineRule="auto"/>
              <w:jc w:val="center"/>
              <w:rPr>
                <w:rFonts w:ascii="宋体" w:hAnsi="宋体" w:cs="宋体"/>
                <w:color w:val="auto"/>
                <w:sz w:val="24"/>
                <w:szCs w:val="24"/>
              </w:rPr>
            </w:pPr>
          </w:p>
        </w:tc>
        <w:tc>
          <w:tcPr>
            <w:tcW w:w="2369" w:type="dxa"/>
            <w:vMerge w:val="continue"/>
            <w:vAlign w:val="center"/>
          </w:tcPr>
          <w:p>
            <w:pPr>
              <w:spacing w:line="360" w:lineRule="auto"/>
              <w:jc w:val="center"/>
              <w:rPr>
                <w:rFonts w:ascii="宋体" w:hAnsi="宋体" w:cs="宋体"/>
                <w:color w:val="auto"/>
                <w:sz w:val="24"/>
                <w:szCs w:val="24"/>
              </w:rPr>
            </w:pPr>
          </w:p>
        </w:tc>
        <w:tc>
          <w:tcPr>
            <w:tcW w:w="127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货车</w:t>
            </w:r>
          </w:p>
        </w:tc>
        <w:tc>
          <w:tcPr>
            <w:tcW w:w="127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19</w:t>
            </w:r>
          </w:p>
        </w:tc>
        <w:tc>
          <w:tcPr>
            <w:tcW w:w="1843" w:type="dxa"/>
            <w:vAlign w:val="center"/>
          </w:tcPr>
          <w:p>
            <w:pPr>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858" w:type="dxa"/>
            <w:vMerge w:val="continue"/>
            <w:vAlign w:val="center"/>
          </w:tcPr>
          <w:p>
            <w:pPr>
              <w:spacing w:line="360" w:lineRule="auto"/>
              <w:jc w:val="center"/>
              <w:rPr>
                <w:rFonts w:ascii="宋体" w:hAnsi="宋体" w:cs="宋体"/>
                <w:color w:val="auto"/>
                <w:sz w:val="24"/>
                <w:szCs w:val="24"/>
              </w:rPr>
            </w:pPr>
          </w:p>
        </w:tc>
        <w:tc>
          <w:tcPr>
            <w:tcW w:w="2369"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道路承运人</w:t>
            </w:r>
          </w:p>
          <w:p>
            <w:pPr>
              <w:spacing w:line="360" w:lineRule="auto"/>
              <w:jc w:val="center"/>
              <w:rPr>
                <w:rFonts w:ascii="宋体" w:hAnsi="宋体" w:cs="宋体"/>
                <w:color w:val="auto"/>
                <w:sz w:val="24"/>
                <w:szCs w:val="24"/>
              </w:rPr>
            </w:pPr>
            <w:r>
              <w:rPr>
                <w:rFonts w:hint="eastAsia" w:ascii="宋体" w:hAnsi="宋体" w:cs="宋体"/>
                <w:color w:val="auto"/>
                <w:sz w:val="24"/>
                <w:szCs w:val="24"/>
              </w:rPr>
              <w:t>责任险</w:t>
            </w:r>
          </w:p>
        </w:tc>
        <w:tc>
          <w:tcPr>
            <w:tcW w:w="1276" w:type="dxa"/>
            <w:vAlign w:val="center"/>
          </w:tcPr>
          <w:p>
            <w:pPr>
              <w:spacing w:line="360" w:lineRule="auto"/>
              <w:jc w:val="center"/>
              <w:rPr>
                <w:rFonts w:ascii="宋体" w:hAnsi="宋体" w:cs="宋体"/>
                <w:color w:val="auto"/>
                <w:sz w:val="24"/>
                <w:szCs w:val="24"/>
              </w:rPr>
            </w:pPr>
          </w:p>
        </w:tc>
        <w:tc>
          <w:tcPr>
            <w:tcW w:w="1275" w:type="dxa"/>
            <w:vAlign w:val="center"/>
          </w:tcPr>
          <w:p>
            <w:pPr>
              <w:spacing w:line="360" w:lineRule="auto"/>
              <w:jc w:val="center"/>
              <w:rPr>
                <w:rFonts w:ascii="宋体" w:hAnsi="宋体" w:cs="宋体"/>
                <w:color w:val="auto"/>
                <w:sz w:val="24"/>
                <w:szCs w:val="24"/>
              </w:rPr>
            </w:pPr>
          </w:p>
        </w:tc>
        <w:tc>
          <w:tcPr>
            <w:tcW w:w="1843"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14252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58" w:type="dxa"/>
            <w:vMerge w:val="continue"/>
            <w:vAlign w:val="center"/>
          </w:tcPr>
          <w:p>
            <w:pPr>
              <w:spacing w:line="360" w:lineRule="auto"/>
              <w:jc w:val="center"/>
              <w:rPr>
                <w:rFonts w:ascii="宋体" w:hAnsi="宋体" w:cs="宋体"/>
                <w:color w:val="auto"/>
                <w:sz w:val="24"/>
                <w:szCs w:val="24"/>
              </w:rPr>
            </w:pPr>
          </w:p>
        </w:tc>
        <w:tc>
          <w:tcPr>
            <w:tcW w:w="2369" w:type="dxa"/>
            <w:vMerge w:val="restart"/>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安全生产责任险</w:t>
            </w:r>
          </w:p>
        </w:tc>
        <w:tc>
          <w:tcPr>
            <w:tcW w:w="127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外勤人员</w:t>
            </w:r>
          </w:p>
        </w:tc>
        <w:tc>
          <w:tcPr>
            <w:tcW w:w="1275" w:type="dxa"/>
            <w:vAlign w:val="center"/>
          </w:tcPr>
          <w:p>
            <w:pPr>
              <w:spacing w:line="360" w:lineRule="auto"/>
              <w:jc w:val="center"/>
              <w:rPr>
                <w:rFonts w:ascii="宋体" w:hAnsi="宋体" w:cs="宋体"/>
                <w:color w:val="auto"/>
                <w:sz w:val="24"/>
                <w:szCs w:val="24"/>
              </w:rPr>
            </w:pPr>
          </w:p>
        </w:tc>
        <w:tc>
          <w:tcPr>
            <w:tcW w:w="1843"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1126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58" w:type="dxa"/>
            <w:vMerge w:val="continue"/>
            <w:vAlign w:val="center"/>
          </w:tcPr>
          <w:p>
            <w:pPr>
              <w:spacing w:line="360" w:lineRule="auto"/>
              <w:jc w:val="center"/>
              <w:rPr>
                <w:rFonts w:ascii="宋体" w:hAnsi="宋体" w:cs="宋体"/>
                <w:color w:val="auto"/>
                <w:sz w:val="24"/>
                <w:szCs w:val="24"/>
              </w:rPr>
            </w:pPr>
          </w:p>
        </w:tc>
        <w:tc>
          <w:tcPr>
            <w:tcW w:w="2369" w:type="dxa"/>
            <w:vMerge w:val="continue"/>
            <w:vAlign w:val="center"/>
          </w:tcPr>
          <w:p>
            <w:pPr>
              <w:spacing w:line="360" w:lineRule="auto"/>
              <w:jc w:val="center"/>
              <w:rPr>
                <w:rFonts w:ascii="宋体" w:hAnsi="宋体" w:cs="宋体"/>
                <w:color w:val="auto"/>
                <w:sz w:val="24"/>
                <w:szCs w:val="24"/>
              </w:rPr>
            </w:pPr>
          </w:p>
        </w:tc>
        <w:tc>
          <w:tcPr>
            <w:tcW w:w="127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内勤人员</w:t>
            </w:r>
          </w:p>
        </w:tc>
        <w:tc>
          <w:tcPr>
            <w:tcW w:w="1275" w:type="dxa"/>
            <w:vAlign w:val="center"/>
          </w:tcPr>
          <w:p>
            <w:pPr>
              <w:spacing w:line="360" w:lineRule="auto"/>
              <w:jc w:val="center"/>
              <w:rPr>
                <w:rFonts w:ascii="宋体" w:hAnsi="宋体" w:cs="宋体"/>
                <w:color w:val="auto"/>
                <w:sz w:val="24"/>
                <w:szCs w:val="24"/>
              </w:rPr>
            </w:pPr>
          </w:p>
        </w:tc>
        <w:tc>
          <w:tcPr>
            <w:tcW w:w="1843"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737</w:t>
            </w:r>
          </w:p>
        </w:tc>
      </w:tr>
    </w:tbl>
    <w:p>
      <w:pPr>
        <w:pStyle w:val="2"/>
        <w:spacing w:line="360" w:lineRule="auto"/>
        <w:ind w:firstLine="480" w:firstLineChars="200"/>
        <w:rPr>
          <w:rFonts w:ascii="宋体" w:hAnsi="宋体"/>
          <w:color w:val="auto"/>
          <w:kern w:val="2"/>
          <w:sz w:val="24"/>
          <w:szCs w:val="24"/>
        </w:rPr>
      </w:pPr>
    </w:p>
    <w:p>
      <w:pPr>
        <w:spacing w:line="360" w:lineRule="auto"/>
        <w:rPr>
          <w:rFonts w:ascii="宋体" w:hAnsi="宋体"/>
          <w:b/>
          <w:color w:val="auto"/>
          <w:sz w:val="24"/>
          <w:szCs w:val="24"/>
        </w:rPr>
      </w:pPr>
      <w:r>
        <w:rPr>
          <w:rFonts w:hint="eastAsia" w:ascii="宋体" w:hAnsi="宋体"/>
          <w:b/>
          <w:color w:val="auto"/>
          <w:sz w:val="24"/>
          <w:szCs w:val="24"/>
        </w:rPr>
        <w:t>二、服务要求（合同包1和合同包2）：</w:t>
      </w:r>
      <w:bookmarkStart w:id="38" w:name="_Toc24529"/>
      <w:bookmarkStart w:id="39" w:name="_Toc16359"/>
    </w:p>
    <w:p>
      <w:pPr>
        <w:spacing w:line="360" w:lineRule="auto"/>
        <w:jc w:val="left"/>
        <w:outlineLvl w:val="1"/>
        <w:rPr>
          <w:rFonts w:ascii="宋体" w:hAnsi="宋体" w:cs="宋体"/>
          <w:color w:val="auto"/>
          <w:sz w:val="24"/>
          <w:szCs w:val="24"/>
        </w:rPr>
      </w:pPr>
      <w:r>
        <w:rPr>
          <w:rFonts w:hint="eastAsia" w:ascii="宋体" w:hAnsi="宋体" w:cs="宋体"/>
          <w:color w:val="auto"/>
          <w:sz w:val="24"/>
          <w:szCs w:val="24"/>
        </w:rPr>
        <w:t>2.1、保险金额/赔偿限额表</w:t>
      </w:r>
      <w:bookmarkEnd w:id="38"/>
      <w:bookmarkEnd w:id="39"/>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（一）机动车辆保险</w:t>
      </w:r>
      <w:r>
        <w:rPr>
          <w:rFonts w:hint="eastAsia" w:ascii="宋体" w:hAnsi="宋体" w:cs="宋体"/>
          <w:b/>
          <w:bCs/>
          <w:color w:val="auto"/>
          <w:sz w:val="24"/>
          <w:szCs w:val="24"/>
        </w:rPr>
        <w:t>（</w:t>
      </w:r>
      <w:r>
        <w:rPr>
          <w:rFonts w:hint="eastAsia" w:ascii="宋体" w:hAnsi="宋体" w:cs="宋体"/>
          <w:b/>
          <w:bCs/>
          <w:color w:val="auto"/>
          <w:kern w:val="0"/>
          <w:sz w:val="24"/>
          <w:szCs w:val="24"/>
        </w:rPr>
        <w:t>项号1</w:t>
      </w:r>
      <w:r>
        <w:rPr>
          <w:rFonts w:hint="eastAsia" w:ascii="宋体" w:hAnsi="宋体" w:cs="宋体"/>
          <w:b/>
          <w:bCs/>
          <w:color w:val="auto"/>
          <w:sz w:val="24"/>
          <w:szCs w:val="24"/>
        </w:rPr>
        <w:t>）</w:t>
      </w:r>
    </w:p>
    <w:tbl>
      <w:tblPr>
        <w:tblStyle w:val="37"/>
        <w:tblW w:w="0" w:type="auto"/>
        <w:jc w:val="center"/>
        <w:tblLayout w:type="fixed"/>
        <w:tblCellMar>
          <w:top w:w="0" w:type="dxa"/>
          <w:left w:w="30" w:type="dxa"/>
          <w:bottom w:w="0" w:type="dxa"/>
          <w:right w:w="30" w:type="dxa"/>
        </w:tblCellMar>
      </w:tblPr>
      <w:tblGrid>
        <w:gridCol w:w="2367"/>
        <w:gridCol w:w="5493"/>
      </w:tblGrid>
      <w:tr>
        <w:tblPrEx>
          <w:tblCellMar>
            <w:top w:w="0" w:type="dxa"/>
            <w:left w:w="30" w:type="dxa"/>
            <w:bottom w:w="0" w:type="dxa"/>
            <w:right w:w="30" w:type="dxa"/>
          </w:tblCellMar>
        </w:tblPrEx>
        <w:trPr>
          <w:trHeight w:val="597" w:hRule="atLeast"/>
          <w:jc w:val="center"/>
        </w:trPr>
        <w:tc>
          <w:tcPr>
            <w:tcW w:w="2367" w:type="dxa"/>
            <w:tcBorders>
              <w:top w:val="single" w:color="auto" w:sz="6" w:space="0"/>
              <w:left w:val="single" w:color="auto" w:sz="6" w:space="0"/>
              <w:bottom w:val="single" w:color="auto" w:sz="6" w:space="0"/>
              <w:right w:val="single" w:color="auto" w:sz="6" w:space="0"/>
            </w:tcBorders>
            <w:shd w:val="clear" w:color="auto" w:fill="E0E0E0"/>
            <w:vAlign w:val="center"/>
          </w:tcPr>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保险险种</w:t>
            </w:r>
          </w:p>
        </w:tc>
        <w:tc>
          <w:tcPr>
            <w:tcW w:w="5493" w:type="dxa"/>
            <w:tcBorders>
              <w:top w:val="single" w:color="auto" w:sz="6" w:space="0"/>
              <w:left w:val="nil"/>
              <w:bottom w:val="single" w:color="auto" w:sz="6" w:space="0"/>
              <w:right w:val="single" w:color="auto" w:sz="6" w:space="0"/>
            </w:tcBorders>
            <w:shd w:val="clear" w:color="auto" w:fill="E0E0E0"/>
            <w:vAlign w:val="center"/>
          </w:tcPr>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统一折扣系数</w:t>
            </w:r>
          </w:p>
        </w:tc>
      </w:tr>
      <w:tr>
        <w:tblPrEx>
          <w:tblCellMar>
            <w:top w:w="0" w:type="dxa"/>
            <w:left w:w="30" w:type="dxa"/>
            <w:bottom w:w="0" w:type="dxa"/>
            <w:right w:w="30" w:type="dxa"/>
          </w:tblCellMar>
        </w:tblPrEx>
        <w:trPr>
          <w:trHeight w:val="631" w:hRule="atLeast"/>
          <w:jc w:val="center"/>
        </w:trPr>
        <w:tc>
          <w:tcPr>
            <w:tcW w:w="2367" w:type="dxa"/>
            <w:tcBorders>
              <w:top w:val="single" w:color="auto" w:sz="6" w:space="0"/>
              <w:left w:val="single" w:color="auto" w:sz="6" w:space="0"/>
              <w:bottom w:val="single" w:color="auto" w:sz="6" w:space="0"/>
              <w:right w:val="single" w:color="auto" w:sz="6" w:space="0"/>
            </w:tcBorders>
            <w:vAlign w:val="center"/>
          </w:tcPr>
          <w:p>
            <w:pPr>
              <w:pStyle w:val="9"/>
              <w:spacing w:line="360" w:lineRule="auto"/>
              <w:ind w:firstLine="0"/>
              <w:jc w:val="center"/>
              <w:rPr>
                <w:rFonts w:ascii="宋体" w:hAnsi="宋体" w:cs="宋体"/>
                <w:color w:val="auto"/>
                <w:sz w:val="24"/>
                <w:szCs w:val="24"/>
              </w:rPr>
            </w:pPr>
            <w:r>
              <w:rPr>
                <w:rFonts w:hint="eastAsia" w:ascii="宋体" w:hAnsi="宋体" w:cs="宋体"/>
                <w:color w:val="auto"/>
                <w:sz w:val="24"/>
                <w:szCs w:val="24"/>
              </w:rPr>
              <w:t>机动车辆商业保险</w:t>
            </w:r>
          </w:p>
        </w:tc>
        <w:tc>
          <w:tcPr>
            <w:tcW w:w="5493" w:type="dxa"/>
            <w:tcBorders>
              <w:top w:val="single" w:color="auto" w:sz="6" w:space="0"/>
              <w:left w:val="nil"/>
              <w:bottom w:val="single" w:color="auto" w:sz="6" w:space="0"/>
              <w:right w:val="single" w:color="auto" w:sz="6" w:space="0"/>
            </w:tcBorders>
            <w:vAlign w:val="center"/>
          </w:tcPr>
          <w:p>
            <w:pPr>
              <w:spacing w:line="360" w:lineRule="auto"/>
              <w:ind w:right="113"/>
              <w:jc w:val="center"/>
              <w:rPr>
                <w:rFonts w:ascii="宋体" w:hAnsi="宋体" w:cs="宋体"/>
                <w:color w:val="auto"/>
                <w:sz w:val="24"/>
                <w:szCs w:val="24"/>
              </w:rPr>
            </w:pPr>
          </w:p>
        </w:tc>
      </w:tr>
      <w:tr>
        <w:tblPrEx>
          <w:tblCellMar>
            <w:top w:w="0" w:type="dxa"/>
            <w:left w:w="30" w:type="dxa"/>
            <w:bottom w:w="0" w:type="dxa"/>
            <w:right w:w="30" w:type="dxa"/>
          </w:tblCellMar>
        </w:tblPrEx>
        <w:trPr>
          <w:trHeight w:val="788" w:hRule="atLeast"/>
          <w:jc w:val="center"/>
        </w:trPr>
        <w:tc>
          <w:tcPr>
            <w:tcW w:w="2367" w:type="dxa"/>
            <w:tcBorders>
              <w:top w:val="single" w:color="auto" w:sz="6" w:space="0"/>
              <w:left w:val="single" w:color="auto" w:sz="6" w:space="0"/>
              <w:bottom w:val="single" w:color="auto" w:sz="6" w:space="0"/>
              <w:right w:val="single" w:color="auto" w:sz="6" w:space="0"/>
            </w:tcBorders>
            <w:vAlign w:val="center"/>
          </w:tcPr>
          <w:p>
            <w:pPr>
              <w:pStyle w:val="9"/>
              <w:spacing w:line="360" w:lineRule="auto"/>
              <w:ind w:firstLine="0"/>
              <w:jc w:val="center"/>
              <w:rPr>
                <w:rFonts w:ascii="宋体" w:hAnsi="宋体" w:cs="宋体"/>
                <w:color w:val="auto"/>
                <w:sz w:val="24"/>
                <w:szCs w:val="24"/>
              </w:rPr>
            </w:pPr>
            <w:r>
              <w:rPr>
                <w:rFonts w:hint="eastAsia" w:ascii="宋体" w:hAnsi="宋体" w:cs="宋体"/>
                <w:color w:val="auto"/>
                <w:sz w:val="24"/>
                <w:szCs w:val="24"/>
              </w:rPr>
              <w:t>交强险</w:t>
            </w:r>
          </w:p>
        </w:tc>
        <w:tc>
          <w:tcPr>
            <w:tcW w:w="5493" w:type="dxa"/>
            <w:tcBorders>
              <w:top w:val="single" w:color="auto" w:sz="6" w:space="0"/>
              <w:left w:val="nil"/>
              <w:bottom w:val="single" w:color="auto" w:sz="6" w:space="0"/>
              <w:right w:val="single" w:color="auto" w:sz="6" w:space="0"/>
            </w:tcBorders>
            <w:vAlign w:val="center"/>
          </w:tcPr>
          <w:p>
            <w:pPr>
              <w:pStyle w:val="9"/>
              <w:spacing w:line="360" w:lineRule="auto"/>
              <w:ind w:firstLine="0"/>
              <w:jc w:val="left"/>
              <w:rPr>
                <w:rFonts w:ascii="宋体" w:hAnsi="宋体" w:cs="宋体"/>
                <w:color w:val="auto"/>
                <w:sz w:val="24"/>
                <w:szCs w:val="24"/>
              </w:rPr>
            </w:pPr>
            <w:r>
              <w:rPr>
                <w:rFonts w:hint="eastAsia" w:ascii="宋体" w:hAnsi="宋体" w:cs="宋体"/>
                <w:color w:val="auto"/>
                <w:sz w:val="24"/>
                <w:szCs w:val="24"/>
              </w:rPr>
              <w:t>按照投保当时国家规定的最新政策执行</w:t>
            </w:r>
          </w:p>
        </w:tc>
      </w:tr>
    </w:tbl>
    <w:p>
      <w:pPr>
        <w:widowControl/>
        <w:spacing w:afterLines="50"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rPr>
        <w:t>说明：</w:t>
      </w:r>
      <w:r>
        <w:rPr>
          <w:rFonts w:hint="eastAsia" w:ascii="宋体" w:hAnsi="宋体" w:cs="宋体"/>
          <w:bCs/>
          <w:color w:val="auto"/>
          <w:sz w:val="24"/>
          <w:szCs w:val="24"/>
        </w:rPr>
        <w:t>保险公司</w:t>
      </w:r>
      <w:r>
        <w:rPr>
          <w:rFonts w:hint="eastAsia" w:ascii="宋体" w:hAnsi="宋体" w:cs="宋体"/>
          <w:color w:val="auto"/>
          <w:sz w:val="24"/>
          <w:szCs w:val="24"/>
        </w:rPr>
        <w:t>在中保协及平台规定的标准保费及优惠系数的基础上，给予所投保机动车辆商业险的统一折扣系数Pn，即保险费=（纯风险保费/(1-附加费用率））×NCD因子×交通违法系数× Pn。</w:t>
      </w:r>
    </w:p>
    <w:p>
      <w:pPr>
        <w:numPr>
          <w:ilvl w:val="0"/>
          <w:numId w:val="7"/>
        </w:num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道路客运承运人责任险</w:t>
      </w:r>
      <w:r>
        <w:rPr>
          <w:rFonts w:hint="eastAsia" w:ascii="宋体" w:hAnsi="宋体" w:cs="宋体"/>
          <w:b/>
          <w:bCs/>
          <w:color w:val="auto"/>
          <w:sz w:val="24"/>
          <w:szCs w:val="24"/>
        </w:rPr>
        <w:t>（</w:t>
      </w:r>
      <w:r>
        <w:rPr>
          <w:rFonts w:hint="eastAsia" w:ascii="宋体" w:hAnsi="宋体" w:cs="宋体"/>
          <w:b/>
          <w:bCs/>
          <w:color w:val="auto"/>
          <w:kern w:val="0"/>
          <w:sz w:val="24"/>
          <w:szCs w:val="24"/>
        </w:rPr>
        <w:t>项号2</w:t>
      </w:r>
      <w:r>
        <w:rPr>
          <w:rFonts w:hint="eastAsia" w:ascii="宋体" w:hAnsi="宋体" w:cs="宋体"/>
          <w:b/>
          <w:bCs/>
          <w:color w:val="auto"/>
          <w:sz w:val="24"/>
          <w:szCs w:val="24"/>
        </w:rPr>
        <w:t>）</w:t>
      </w:r>
    </w:p>
    <w:tbl>
      <w:tblPr>
        <w:tblStyle w:val="37"/>
        <w:tblW w:w="0" w:type="auto"/>
        <w:jc w:val="center"/>
        <w:tblLayout w:type="fixed"/>
        <w:tblCellMar>
          <w:top w:w="0" w:type="dxa"/>
          <w:left w:w="108" w:type="dxa"/>
          <w:bottom w:w="0" w:type="dxa"/>
          <w:right w:w="108" w:type="dxa"/>
        </w:tblCellMar>
      </w:tblPr>
      <w:tblGrid>
        <w:gridCol w:w="2700"/>
        <w:gridCol w:w="2700"/>
        <w:gridCol w:w="2160"/>
      </w:tblGrid>
      <w:tr>
        <w:tblPrEx>
          <w:tblCellMar>
            <w:top w:w="0" w:type="dxa"/>
            <w:left w:w="108" w:type="dxa"/>
            <w:bottom w:w="0" w:type="dxa"/>
            <w:right w:w="108" w:type="dxa"/>
          </w:tblCellMar>
        </w:tblPrEx>
        <w:trPr>
          <w:trHeight w:val="465" w:hRule="atLeast"/>
          <w:jc w:val="center"/>
        </w:trPr>
        <w:tc>
          <w:tcPr>
            <w:tcW w:w="2700" w:type="dxa"/>
            <w:tcBorders>
              <w:top w:val="single" w:color="auto" w:sz="4" w:space="0"/>
              <w:left w:val="single" w:color="auto" w:sz="4" w:space="0"/>
              <w:bottom w:val="single" w:color="auto" w:sz="4" w:space="0"/>
              <w:right w:val="single" w:color="auto" w:sz="4" w:space="0"/>
            </w:tcBorders>
            <w:shd w:val="clear" w:color="auto" w:fill="CCCCCC"/>
          </w:tcPr>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每座位赔偿限额</w:t>
            </w:r>
          </w:p>
        </w:tc>
        <w:tc>
          <w:tcPr>
            <w:tcW w:w="2700" w:type="dxa"/>
            <w:tcBorders>
              <w:top w:val="single" w:color="auto" w:sz="4" w:space="0"/>
              <w:left w:val="nil"/>
              <w:bottom w:val="single" w:color="auto" w:sz="4" w:space="0"/>
              <w:right w:val="single" w:color="auto" w:sz="4" w:space="0"/>
            </w:tcBorders>
            <w:shd w:val="clear" w:color="auto" w:fill="CCCCCC"/>
          </w:tcPr>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保险费率</w:t>
            </w:r>
          </w:p>
        </w:tc>
        <w:tc>
          <w:tcPr>
            <w:tcW w:w="2160" w:type="dxa"/>
            <w:tcBorders>
              <w:top w:val="single" w:color="auto" w:sz="4" w:space="0"/>
              <w:left w:val="nil"/>
              <w:bottom w:val="single" w:color="auto" w:sz="4" w:space="0"/>
              <w:right w:val="single" w:color="auto" w:sz="4" w:space="0"/>
            </w:tcBorders>
            <w:shd w:val="clear" w:color="auto" w:fill="CCCCCC"/>
          </w:tcPr>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每座保险费</w:t>
            </w:r>
          </w:p>
        </w:tc>
      </w:tr>
      <w:tr>
        <w:tblPrEx>
          <w:tblCellMar>
            <w:top w:w="0" w:type="dxa"/>
            <w:left w:w="108" w:type="dxa"/>
            <w:bottom w:w="0" w:type="dxa"/>
            <w:right w:w="108" w:type="dxa"/>
          </w:tblCellMar>
        </w:tblPrEx>
        <w:trPr>
          <w:trHeight w:val="450" w:hRule="atLeast"/>
          <w:jc w:val="center"/>
        </w:trPr>
        <w:tc>
          <w:tcPr>
            <w:tcW w:w="2700" w:type="dxa"/>
            <w:tcBorders>
              <w:top w:val="single" w:color="auto" w:sz="4" w:space="0"/>
              <w:left w:val="single" w:color="auto" w:sz="4" w:space="0"/>
              <w:bottom w:val="single" w:color="auto" w:sz="4" w:space="0"/>
              <w:right w:val="single" w:color="auto" w:sz="4" w:space="0"/>
            </w:tcBorders>
          </w:tcPr>
          <w:p>
            <w:pPr>
              <w:pStyle w:val="9"/>
              <w:spacing w:line="360" w:lineRule="auto"/>
              <w:rPr>
                <w:rFonts w:ascii="宋体" w:hAnsi="宋体" w:cs="宋体"/>
                <w:color w:val="auto"/>
                <w:sz w:val="24"/>
                <w:szCs w:val="24"/>
              </w:rPr>
            </w:pPr>
            <w:r>
              <w:rPr>
                <w:rFonts w:hint="eastAsia" w:ascii="宋体" w:hAnsi="宋体" w:cs="宋体"/>
                <w:color w:val="auto"/>
                <w:sz w:val="24"/>
                <w:szCs w:val="24"/>
              </w:rPr>
              <w:t>RMB60万元</w:t>
            </w:r>
          </w:p>
        </w:tc>
        <w:tc>
          <w:tcPr>
            <w:tcW w:w="2700" w:type="dxa"/>
            <w:tcBorders>
              <w:top w:val="single" w:color="auto" w:sz="4" w:space="0"/>
              <w:left w:val="nil"/>
              <w:bottom w:val="single" w:color="auto" w:sz="4" w:space="0"/>
              <w:right w:val="single" w:color="auto" w:sz="4" w:space="0"/>
            </w:tcBorders>
          </w:tcPr>
          <w:p>
            <w:pPr>
              <w:pStyle w:val="9"/>
              <w:spacing w:line="360" w:lineRule="auto"/>
              <w:rPr>
                <w:rFonts w:ascii="宋体" w:hAnsi="宋体" w:cs="宋体"/>
                <w:color w:val="auto"/>
                <w:sz w:val="24"/>
                <w:szCs w:val="24"/>
              </w:rPr>
            </w:pPr>
            <w:r>
              <w:rPr>
                <w:rFonts w:hint="eastAsia" w:ascii="宋体" w:hAnsi="宋体" w:cs="宋体"/>
                <w:color w:val="auto"/>
                <w:sz w:val="24"/>
                <w:szCs w:val="24"/>
              </w:rPr>
              <w:t xml:space="preserve">    ‰</w:t>
            </w:r>
          </w:p>
        </w:tc>
        <w:tc>
          <w:tcPr>
            <w:tcW w:w="2160" w:type="dxa"/>
            <w:tcBorders>
              <w:top w:val="single" w:color="auto" w:sz="4" w:space="0"/>
              <w:left w:val="nil"/>
              <w:bottom w:val="single" w:color="auto" w:sz="4" w:space="0"/>
              <w:right w:val="single" w:color="auto" w:sz="4" w:space="0"/>
            </w:tcBorders>
          </w:tcPr>
          <w:p>
            <w:pPr>
              <w:pStyle w:val="9"/>
              <w:spacing w:line="360" w:lineRule="auto"/>
              <w:ind w:firstLine="0"/>
              <w:rPr>
                <w:rFonts w:ascii="宋体" w:hAnsi="宋体" w:cs="宋体"/>
                <w:color w:val="auto"/>
                <w:sz w:val="24"/>
                <w:szCs w:val="24"/>
              </w:rPr>
            </w:pPr>
            <w:r>
              <w:rPr>
                <w:rFonts w:hint="eastAsia" w:ascii="宋体" w:hAnsi="宋体" w:cs="宋体"/>
                <w:color w:val="auto"/>
                <w:sz w:val="24"/>
                <w:szCs w:val="24"/>
              </w:rPr>
              <w:t xml:space="preserve"> RMB   元/座</w:t>
            </w:r>
          </w:p>
        </w:tc>
      </w:tr>
    </w:tbl>
    <w:p>
      <w:pPr>
        <w:spacing w:line="360" w:lineRule="auto"/>
        <w:outlineLvl w:val="1"/>
        <w:rPr>
          <w:rFonts w:ascii="宋体" w:hAnsi="宋体"/>
          <w:color w:val="auto"/>
          <w:sz w:val="24"/>
          <w:szCs w:val="24"/>
        </w:rPr>
      </w:pP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（三）安全生产责任保险</w:t>
      </w:r>
      <w:r>
        <w:rPr>
          <w:rFonts w:hint="eastAsia" w:ascii="宋体" w:hAnsi="宋体" w:cs="宋体"/>
          <w:b/>
          <w:bCs/>
          <w:color w:val="auto"/>
          <w:sz w:val="24"/>
          <w:szCs w:val="24"/>
        </w:rPr>
        <w:t>（</w:t>
      </w:r>
      <w:r>
        <w:rPr>
          <w:rFonts w:hint="eastAsia" w:ascii="宋体" w:hAnsi="宋体" w:cs="宋体"/>
          <w:b/>
          <w:bCs/>
          <w:color w:val="auto"/>
          <w:kern w:val="0"/>
          <w:sz w:val="24"/>
          <w:szCs w:val="24"/>
        </w:rPr>
        <w:t>项号3</w:t>
      </w:r>
      <w:r>
        <w:rPr>
          <w:rFonts w:hint="eastAsia" w:ascii="宋体" w:hAnsi="宋体" w:cs="宋体"/>
          <w:b/>
          <w:bCs/>
          <w:color w:val="auto"/>
          <w:sz w:val="24"/>
          <w:szCs w:val="24"/>
        </w:rPr>
        <w:t>）</w:t>
      </w:r>
    </w:p>
    <w:tbl>
      <w:tblPr>
        <w:tblStyle w:val="37"/>
        <w:tblW w:w="0" w:type="auto"/>
        <w:jc w:val="center"/>
        <w:tblLayout w:type="fixed"/>
        <w:tblCellMar>
          <w:top w:w="0" w:type="dxa"/>
          <w:left w:w="108" w:type="dxa"/>
          <w:bottom w:w="0" w:type="dxa"/>
          <w:right w:w="108" w:type="dxa"/>
        </w:tblCellMar>
      </w:tblPr>
      <w:tblGrid>
        <w:gridCol w:w="2700"/>
        <w:gridCol w:w="2700"/>
        <w:gridCol w:w="2160"/>
      </w:tblGrid>
      <w:tr>
        <w:tblPrEx>
          <w:tblCellMar>
            <w:top w:w="0" w:type="dxa"/>
            <w:left w:w="108" w:type="dxa"/>
            <w:bottom w:w="0" w:type="dxa"/>
            <w:right w:w="108" w:type="dxa"/>
          </w:tblCellMar>
        </w:tblPrEx>
        <w:trPr>
          <w:trHeight w:val="465" w:hRule="atLeast"/>
          <w:jc w:val="center"/>
        </w:trPr>
        <w:tc>
          <w:tcPr>
            <w:tcW w:w="2700" w:type="dxa"/>
            <w:tcBorders>
              <w:top w:val="single" w:color="auto" w:sz="4" w:space="0"/>
              <w:left w:val="single" w:color="auto" w:sz="4" w:space="0"/>
              <w:bottom w:val="single" w:color="auto" w:sz="4" w:space="0"/>
              <w:right w:val="single" w:color="auto" w:sz="4" w:space="0"/>
            </w:tcBorders>
            <w:shd w:val="clear" w:color="auto" w:fill="CCCCCC"/>
          </w:tcPr>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每人赔偿限额</w:t>
            </w:r>
          </w:p>
        </w:tc>
        <w:tc>
          <w:tcPr>
            <w:tcW w:w="2700" w:type="dxa"/>
            <w:tcBorders>
              <w:top w:val="single" w:color="auto" w:sz="4" w:space="0"/>
              <w:left w:val="nil"/>
              <w:bottom w:val="single" w:color="auto" w:sz="4" w:space="0"/>
              <w:right w:val="single" w:color="auto" w:sz="4" w:space="0"/>
            </w:tcBorders>
            <w:shd w:val="clear" w:color="auto" w:fill="CCCCCC"/>
          </w:tcPr>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岗位</w:t>
            </w:r>
          </w:p>
        </w:tc>
        <w:tc>
          <w:tcPr>
            <w:tcW w:w="2160" w:type="dxa"/>
            <w:tcBorders>
              <w:top w:val="single" w:color="auto" w:sz="4" w:space="0"/>
              <w:left w:val="nil"/>
              <w:bottom w:val="single" w:color="auto" w:sz="4" w:space="0"/>
              <w:right w:val="single" w:color="auto" w:sz="4" w:space="0"/>
            </w:tcBorders>
            <w:shd w:val="clear" w:color="auto" w:fill="CCCCCC"/>
          </w:tcPr>
          <w:p>
            <w:pPr>
              <w:spacing w:line="360" w:lineRule="auto"/>
              <w:rPr>
                <w:rFonts w:ascii="宋体" w:hAnsi="宋体" w:cs="宋体"/>
                <w:b/>
                <w:bCs/>
                <w:color w:val="auto"/>
                <w:sz w:val="24"/>
                <w:szCs w:val="24"/>
              </w:rPr>
            </w:pPr>
            <w:r>
              <w:rPr>
                <w:rFonts w:hint="eastAsia" w:ascii="宋体" w:hAnsi="宋体" w:cs="宋体"/>
                <w:b/>
                <w:bCs/>
                <w:color w:val="auto"/>
                <w:sz w:val="24"/>
                <w:szCs w:val="24"/>
              </w:rPr>
              <w:t>每人保险费</w:t>
            </w:r>
          </w:p>
        </w:tc>
      </w:tr>
      <w:tr>
        <w:tblPrEx>
          <w:tblCellMar>
            <w:top w:w="0" w:type="dxa"/>
            <w:left w:w="108" w:type="dxa"/>
            <w:bottom w:w="0" w:type="dxa"/>
            <w:right w:w="108" w:type="dxa"/>
          </w:tblCellMar>
        </w:tblPrEx>
        <w:trPr>
          <w:trHeight w:val="450" w:hRule="atLeast"/>
          <w:jc w:val="center"/>
        </w:trPr>
        <w:tc>
          <w:tcPr>
            <w:tcW w:w="2700" w:type="dxa"/>
            <w:tcBorders>
              <w:top w:val="single" w:color="auto" w:sz="4" w:space="0"/>
              <w:left w:val="single" w:color="auto" w:sz="4" w:space="0"/>
              <w:bottom w:val="single" w:color="auto" w:sz="4" w:space="0"/>
              <w:right w:val="single" w:color="auto" w:sz="4" w:space="0"/>
            </w:tcBorders>
          </w:tcPr>
          <w:p>
            <w:pPr>
              <w:pStyle w:val="9"/>
              <w:spacing w:line="360" w:lineRule="auto"/>
              <w:rPr>
                <w:rFonts w:ascii="宋体" w:hAnsi="宋体" w:cs="宋体"/>
                <w:color w:val="auto"/>
                <w:sz w:val="24"/>
                <w:szCs w:val="24"/>
              </w:rPr>
            </w:pPr>
            <w:r>
              <w:rPr>
                <w:rFonts w:hint="eastAsia" w:ascii="宋体" w:hAnsi="宋体" w:cs="宋体"/>
                <w:color w:val="auto"/>
                <w:sz w:val="24"/>
                <w:szCs w:val="24"/>
              </w:rPr>
              <w:t>RM</w:t>
            </w:r>
            <w:r>
              <w:rPr>
                <w:rFonts w:ascii="宋体" w:hAnsi="宋体" w:cs="宋体"/>
                <w:color w:val="auto"/>
                <w:sz w:val="24"/>
                <w:szCs w:val="24"/>
              </w:rPr>
              <w:t xml:space="preserve">    </w:t>
            </w:r>
            <w:r>
              <w:rPr>
                <w:rFonts w:hint="eastAsia" w:ascii="宋体" w:hAnsi="宋体" w:cs="宋体"/>
                <w:color w:val="auto"/>
                <w:sz w:val="24"/>
                <w:szCs w:val="24"/>
              </w:rPr>
              <w:t>万元</w:t>
            </w:r>
          </w:p>
        </w:tc>
        <w:tc>
          <w:tcPr>
            <w:tcW w:w="2700" w:type="dxa"/>
            <w:tcBorders>
              <w:top w:val="single" w:color="auto" w:sz="4" w:space="0"/>
              <w:left w:val="nil"/>
              <w:bottom w:val="single" w:color="auto" w:sz="4" w:space="0"/>
              <w:right w:val="single" w:color="auto" w:sz="4" w:space="0"/>
            </w:tcBorders>
          </w:tcPr>
          <w:p>
            <w:pPr>
              <w:pStyle w:val="9"/>
              <w:spacing w:line="360" w:lineRule="auto"/>
              <w:ind w:firstLine="0"/>
              <w:jc w:val="center"/>
              <w:rPr>
                <w:rFonts w:ascii="宋体" w:hAnsi="宋体" w:cs="宋体"/>
                <w:color w:val="auto"/>
                <w:sz w:val="24"/>
                <w:szCs w:val="24"/>
              </w:rPr>
            </w:pPr>
            <w:r>
              <w:rPr>
                <w:rFonts w:hint="eastAsia" w:ascii="宋体" w:hAnsi="宋体" w:cs="宋体"/>
                <w:color w:val="auto"/>
                <w:sz w:val="24"/>
                <w:szCs w:val="24"/>
              </w:rPr>
              <w:t>外勤</w:t>
            </w:r>
          </w:p>
        </w:tc>
        <w:tc>
          <w:tcPr>
            <w:tcW w:w="2160" w:type="dxa"/>
            <w:tcBorders>
              <w:top w:val="single" w:color="auto" w:sz="4" w:space="0"/>
              <w:left w:val="nil"/>
              <w:bottom w:val="single" w:color="auto" w:sz="4" w:space="0"/>
              <w:right w:val="single" w:color="auto" w:sz="4" w:space="0"/>
            </w:tcBorders>
          </w:tcPr>
          <w:p>
            <w:pPr>
              <w:pStyle w:val="9"/>
              <w:spacing w:line="360" w:lineRule="auto"/>
              <w:ind w:firstLine="0"/>
              <w:rPr>
                <w:rFonts w:ascii="宋体" w:hAnsi="宋体" w:cs="宋体"/>
                <w:color w:val="auto"/>
                <w:sz w:val="24"/>
                <w:szCs w:val="24"/>
              </w:rPr>
            </w:pPr>
            <w:r>
              <w:rPr>
                <w:rFonts w:hint="eastAsia" w:ascii="宋体" w:hAnsi="宋体" w:cs="宋体"/>
                <w:color w:val="auto"/>
                <w:sz w:val="24"/>
                <w:szCs w:val="24"/>
              </w:rPr>
              <w:t xml:space="preserve"> RMB120元/人</w:t>
            </w:r>
          </w:p>
        </w:tc>
      </w:tr>
      <w:tr>
        <w:tblPrEx>
          <w:tblCellMar>
            <w:top w:w="0" w:type="dxa"/>
            <w:left w:w="108" w:type="dxa"/>
            <w:bottom w:w="0" w:type="dxa"/>
            <w:right w:w="108" w:type="dxa"/>
          </w:tblCellMar>
        </w:tblPrEx>
        <w:trPr>
          <w:trHeight w:val="450" w:hRule="atLeast"/>
          <w:jc w:val="center"/>
        </w:trPr>
        <w:tc>
          <w:tcPr>
            <w:tcW w:w="2700" w:type="dxa"/>
            <w:tcBorders>
              <w:top w:val="single" w:color="auto" w:sz="4" w:space="0"/>
              <w:left w:val="single" w:color="auto" w:sz="4" w:space="0"/>
              <w:bottom w:val="single" w:color="auto" w:sz="4" w:space="0"/>
              <w:right w:val="single" w:color="auto" w:sz="4" w:space="0"/>
            </w:tcBorders>
          </w:tcPr>
          <w:p>
            <w:pPr>
              <w:pStyle w:val="9"/>
              <w:spacing w:line="360" w:lineRule="auto"/>
              <w:rPr>
                <w:rFonts w:ascii="宋体" w:hAnsi="宋体" w:cs="宋体"/>
                <w:color w:val="auto"/>
                <w:sz w:val="24"/>
                <w:szCs w:val="24"/>
              </w:rPr>
            </w:pPr>
            <w:r>
              <w:rPr>
                <w:rFonts w:hint="eastAsia" w:ascii="宋体" w:hAnsi="宋体" w:cs="宋体"/>
                <w:color w:val="auto"/>
                <w:sz w:val="24"/>
                <w:szCs w:val="24"/>
              </w:rPr>
              <w:t>RMB</w:t>
            </w:r>
            <w:r>
              <w:rPr>
                <w:rFonts w:ascii="宋体" w:hAnsi="宋体" w:cs="宋体"/>
                <w:color w:val="auto"/>
                <w:sz w:val="24"/>
                <w:szCs w:val="24"/>
              </w:rPr>
              <w:t xml:space="preserve">   </w:t>
            </w:r>
            <w:r>
              <w:rPr>
                <w:rFonts w:hint="eastAsia" w:ascii="宋体" w:hAnsi="宋体" w:cs="宋体"/>
                <w:color w:val="auto"/>
                <w:sz w:val="24"/>
                <w:szCs w:val="24"/>
              </w:rPr>
              <w:t>万元</w:t>
            </w:r>
          </w:p>
        </w:tc>
        <w:tc>
          <w:tcPr>
            <w:tcW w:w="2700" w:type="dxa"/>
            <w:tcBorders>
              <w:top w:val="single" w:color="auto" w:sz="4" w:space="0"/>
              <w:left w:val="nil"/>
              <w:bottom w:val="single" w:color="auto" w:sz="4" w:space="0"/>
              <w:right w:val="single" w:color="auto" w:sz="4" w:space="0"/>
            </w:tcBorders>
          </w:tcPr>
          <w:p>
            <w:pPr>
              <w:pStyle w:val="9"/>
              <w:spacing w:line="360" w:lineRule="auto"/>
              <w:ind w:firstLine="0"/>
              <w:jc w:val="center"/>
              <w:rPr>
                <w:rFonts w:ascii="宋体" w:hAnsi="宋体" w:cs="宋体"/>
                <w:color w:val="auto"/>
                <w:sz w:val="24"/>
                <w:szCs w:val="24"/>
              </w:rPr>
            </w:pPr>
            <w:r>
              <w:rPr>
                <w:rFonts w:hint="eastAsia" w:ascii="宋体" w:hAnsi="宋体" w:cs="宋体"/>
                <w:color w:val="auto"/>
                <w:sz w:val="24"/>
                <w:szCs w:val="24"/>
              </w:rPr>
              <w:t>内勤</w:t>
            </w:r>
          </w:p>
        </w:tc>
        <w:tc>
          <w:tcPr>
            <w:tcW w:w="2160" w:type="dxa"/>
            <w:tcBorders>
              <w:top w:val="single" w:color="auto" w:sz="4" w:space="0"/>
              <w:left w:val="nil"/>
              <w:bottom w:val="single" w:color="auto" w:sz="4" w:space="0"/>
              <w:right w:val="single" w:color="auto" w:sz="4" w:space="0"/>
            </w:tcBorders>
          </w:tcPr>
          <w:p>
            <w:pPr>
              <w:pStyle w:val="9"/>
              <w:spacing w:line="360" w:lineRule="auto"/>
              <w:ind w:firstLine="120" w:firstLineChars="50"/>
              <w:rPr>
                <w:rFonts w:ascii="宋体" w:hAnsi="宋体" w:cs="宋体"/>
                <w:color w:val="auto"/>
                <w:sz w:val="24"/>
                <w:szCs w:val="24"/>
              </w:rPr>
            </w:pPr>
            <w:r>
              <w:rPr>
                <w:rFonts w:hint="eastAsia" w:ascii="宋体" w:hAnsi="宋体" w:cs="宋体"/>
                <w:color w:val="auto"/>
                <w:sz w:val="24"/>
                <w:szCs w:val="24"/>
              </w:rPr>
              <w:t>RMB60元/人</w:t>
            </w:r>
          </w:p>
        </w:tc>
      </w:tr>
    </w:tbl>
    <w:p>
      <w:pPr>
        <w:pStyle w:val="2"/>
        <w:rPr>
          <w:color w:val="auto"/>
        </w:rPr>
      </w:pPr>
    </w:p>
    <w:p>
      <w:pPr>
        <w:spacing w:line="360" w:lineRule="auto"/>
        <w:outlineLvl w:val="1"/>
        <w:rPr>
          <w:rFonts w:ascii="宋体" w:hAnsi="宋体"/>
          <w:color w:val="auto"/>
          <w:sz w:val="24"/>
          <w:szCs w:val="24"/>
        </w:rPr>
      </w:pPr>
    </w:p>
    <w:p>
      <w:pPr>
        <w:spacing w:line="360" w:lineRule="auto"/>
        <w:outlineLvl w:val="1"/>
        <w:rPr>
          <w:rFonts w:ascii="宋体" w:hAnsi="宋体" w:cs="宋体"/>
          <w:b/>
          <w:bCs/>
          <w:color w:val="auto"/>
          <w:sz w:val="24"/>
          <w:szCs w:val="24"/>
        </w:rPr>
      </w:pPr>
      <w:r>
        <w:rPr>
          <w:rFonts w:hint="eastAsia" w:ascii="宋体" w:hAnsi="宋体"/>
          <w:color w:val="auto"/>
          <w:sz w:val="24"/>
          <w:szCs w:val="24"/>
        </w:rPr>
        <w:t>2.2、</w:t>
      </w:r>
      <w:r>
        <w:rPr>
          <w:rFonts w:hint="eastAsia" w:ascii="宋体" w:hAnsi="宋体" w:cs="宋体"/>
          <w:b/>
          <w:bCs/>
          <w:color w:val="auto"/>
          <w:sz w:val="24"/>
          <w:szCs w:val="24"/>
        </w:rPr>
        <w:t>保险理赔服务约定</w:t>
      </w:r>
    </w:p>
    <w:p>
      <w:pPr>
        <w:spacing w:line="360" w:lineRule="auto"/>
        <w:ind w:firstLine="560"/>
        <w:rPr>
          <w:rFonts w:ascii="宋体" w:hAnsi="宋体" w:cs="宋体"/>
          <w:color w:val="auto"/>
          <w:sz w:val="24"/>
          <w:szCs w:val="24"/>
        </w:rPr>
      </w:pPr>
      <w:r>
        <w:rPr>
          <w:rFonts w:hint="eastAsia" w:ascii="宋体" w:hAnsi="宋体" w:cs="宋体"/>
          <w:color w:val="auto"/>
          <w:sz w:val="24"/>
          <w:szCs w:val="24"/>
        </w:rPr>
        <w:t>乙方应建立宁德市汽车运输集团有限公司保险项目小组及VIP客户理赔服务绿色通道，切实遵守以下保险理赔服务约定，主动迅速地为被保险人提供优质的理赔服务，实现客户服务高度满意。</w:t>
      </w:r>
      <w:r>
        <w:rPr>
          <w:rFonts w:hint="eastAsia" w:ascii="宋体" w:hAnsi="宋体" w:cs="宋体"/>
          <w:b/>
          <w:bCs/>
          <w:color w:val="auto"/>
          <w:sz w:val="24"/>
          <w:szCs w:val="24"/>
        </w:rPr>
        <w:t>（</w:t>
      </w:r>
      <w:r>
        <w:rPr>
          <w:rFonts w:hint="eastAsia" w:ascii="宋体" w:hAnsi="宋体" w:cs="宋体"/>
          <w:b/>
          <w:bCs/>
          <w:color w:val="auto"/>
          <w:kern w:val="0"/>
          <w:sz w:val="24"/>
          <w:szCs w:val="24"/>
        </w:rPr>
        <w:t>项号4</w:t>
      </w:r>
      <w:r>
        <w:rPr>
          <w:rFonts w:hint="eastAsia" w:ascii="宋体" w:hAnsi="宋体" w:cs="宋体"/>
          <w:b/>
          <w:bCs/>
          <w:color w:val="auto"/>
          <w:sz w:val="24"/>
          <w:szCs w:val="24"/>
        </w:rPr>
        <w:t>）</w:t>
      </w:r>
    </w:p>
    <w:p>
      <w:pPr>
        <w:spacing w:line="360" w:lineRule="auto"/>
        <w:rPr>
          <w:rFonts w:ascii="宋体" w:hAnsi="宋体" w:cs="宋体"/>
          <w:b/>
          <w:color w:val="auto"/>
          <w:sz w:val="24"/>
          <w:szCs w:val="24"/>
        </w:rPr>
      </w:pPr>
      <w:r>
        <w:rPr>
          <w:rFonts w:hint="eastAsia" w:ascii="宋体" w:hAnsi="宋体" w:cs="宋体"/>
          <w:b/>
          <w:color w:val="auto"/>
          <w:sz w:val="24"/>
          <w:szCs w:val="24"/>
        </w:rPr>
        <w:t>一、接报案</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1、乙方设立24小时保险服务专线电话，电话号码：*****，可全年365天随时接受被保险人的出险报案，并应立即通知项目小组。被保险人也可以直接向乙方项目小组报案。</w:t>
      </w:r>
      <w:r>
        <w:rPr>
          <w:rFonts w:hint="eastAsia" w:ascii="宋体" w:hAnsi="宋体" w:cs="宋体"/>
          <w:b/>
          <w:bCs/>
          <w:color w:val="auto"/>
          <w:sz w:val="24"/>
          <w:szCs w:val="24"/>
        </w:rPr>
        <w:t>（</w:t>
      </w:r>
      <w:r>
        <w:rPr>
          <w:rFonts w:hint="eastAsia" w:ascii="宋体" w:hAnsi="宋体" w:cs="宋体"/>
          <w:b/>
          <w:bCs/>
          <w:color w:val="auto"/>
          <w:kern w:val="0"/>
          <w:sz w:val="24"/>
          <w:szCs w:val="24"/>
        </w:rPr>
        <w:t>项号5</w:t>
      </w:r>
      <w:r>
        <w:rPr>
          <w:rFonts w:hint="eastAsia" w:ascii="宋体" w:hAnsi="宋体" w:cs="宋体"/>
          <w:b/>
          <w:bCs/>
          <w:color w:val="auto"/>
          <w:sz w:val="24"/>
          <w:szCs w:val="24"/>
        </w:rPr>
        <w:t>）</w:t>
      </w:r>
    </w:p>
    <w:p>
      <w:pPr>
        <w:spacing w:line="360" w:lineRule="auto"/>
        <w:ind w:firstLine="480" w:firstLineChars="200"/>
        <w:rPr>
          <w:rFonts w:ascii="宋体" w:hAnsi="宋体" w:cs="宋体"/>
          <w:b/>
          <w:color w:val="auto"/>
          <w:sz w:val="24"/>
          <w:szCs w:val="24"/>
        </w:rPr>
      </w:pPr>
      <w:r>
        <w:rPr>
          <w:rFonts w:hint="eastAsia" w:ascii="宋体" w:hAnsi="宋体" w:cs="宋体"/>
          <w:color w:val="auto"/>
          <w:sz w:val="24"/>
          <w:szCs w:val="24"/>
        </w:rPr>
        <w:t>2、被保险人因特殊情况无法在乙方规定的时间内报案，乙方应认可被保险人事后出具的书面说明或交警事故认定书，并视同为及时报案。</w:t>
      </w:r>
      <w:r>
        <w:rPr>
          <w:rFonts w:hint="eastAsia" w:ascii="宋体" w:hAnsi="宋体" w:cs="宋体"/>
          <w:b/>
          <w:bCs/>
          <w:color w:val="auto"/>
          <w:sz w:val="24"/>
          <w:szCs w:val="24"/>
        </w:rPr>
        <w:t>（</w:t>
      </w:r>
      <w:r>
        <w:rPr>
          <w:rFonts w:hint="eastAsia" w:ascii="宋体" w:hAnsi="宋体" w:cs="宋体"/>
          <w:b/>
          <w:bCs/>
          <w:color w:val="auto"/>
          <w:kern w:val="0"/>
          <w:sz w:val="24"/>
          <w:szCs w:val="24"/>
        </w:rPr>
        <w:t>项号6</w:t>
      </w:r>
      <w:r>
        <w:rPr>
          <w:rFonts w:hint="eastAsia" w:ascii="宋体" w:hAnsi="宋体" w:cs="宋体"/>
          <w:b/>
          <w:bCs/>
          <w:color w:val="auto"/>
          <w:sz w:val="24"/>
          <w:szCs w:val="24"/>
        </w:rPr>
        <w:t>）</w:t>
      </w:r>
    </w:p>
    <w:p>
      <w:pPr>
        <w:spacing w:line="360" w:lineRule="auto"/>
        <w:ind w:firstLine="480" w:firstLineChars="200"/>
        <w:rPr>
          <w:rFonts w:ascii="宋体" w:hAnsi="宋体" w:cs="宋体"/>
          <w:color w:val="auto"/>
          <w:sz w:val="24"/>
          <w:szCs w:val="24"/>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7" w:type="dxa"/>
            <w:gridSpan w:val="4"/>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保险项目服务小组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3"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姓名</w:t>
            </w:r>
          </w:p>
        </w:tc>
        <w:tc>
          <w:tcPr>
            <w:tcW w:w="1704"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职务</w:t>
            </w:r>
          </w:p>
        </w:tc>
        <w:tc>
          <w:tcPr>
            <w:tcW w:w="170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联系方式</w:t>
            </w:r>
          </w:p>
        </w:tc>
        <w:tc>
          <w:tcPr>
            <w:tcW w:w="170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服务职责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Align w:val="center"/>
          </w:tcPr>
          <w:p>
            <w:pPr>
              <w:spacing w:line="360" w:lineRule="auto"/>
              <w:jc w:val="center"/>
              <w:rPr>
                <w:rFonts w:ascii="宋体" w:hAnsi="宋体" w:cs="宋体"/>
                <w:color w:val="auto"/>
                <w:sz w:val="24"/>
                <w:szCs w:val="24"/>
              </w:rPr>
            </w:pPr>
          </w:p>
        </w:tc>
        <w:tc>
          <w:tcPr>
            <w:tcW w:w="1704" w:type="dxa"/>
            <w:vAlign w:val="center"/>
          </w:tcPr>
          <w:p>
            <w:pPr>
              <w:spacing w:line="360" w:lineRule="auto"/>
              <w:jc w:val="center"/>
              <w:rPr>
                <w:rFonts w:ascii="宋体" w:hAnsi="宋体" w:cs="宋体"/>
                <w:color w:val="auto"/>
                <w:sz w:val="24"/>
                <w:szCs w:val="24"/>
              </w:rPr>
            </w:pPr>
          </w:p>
        </w:tc>
        <w:tc>
          <w:tcPr>
            <w:tcW w:w="1705" w:type="dxa"/>
            <w:vAlign w:val="center"/>
          </w:tcPr>
          <w:p>
            <w:pPr>
              <w:spacing w:line="360" w:lineRule="auto"/>
              <w:jc w:val="center"/>
              <w:rPr>
                <w:rFonts w:ascii="宋体" w:hAnsi="宋体" w:cs="宋体"/>
                <w:color w:val="auto"/>
                <w:sz w:val="24"/>
                <w:szCs w:val="24"/>
              </w:rPr>
            </w:pPr>
          </w:p>
        </w:tc>
        <w:tc>
          <w:tcPr>
            <w:tcW w:w="1705" w:type="dxa"/>
            <w:vAlign w:val="center"/>
          </w:tcPr>
          <w:p>
            <w:pPr>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3" w:type="dxa"/>
            <w:vAlign w:val="center"/>
          </w:tcPr>
          <w:p>
            <w:pPr>
              <w:spacing w:line="360" w:lineRule="auto"/>
              <w:jc w:val="center"/>
              <w:rPr>
                <w:rFonts w:ascii="宋体" w:hAnsi="宋体" w:cs="宋体"/>
                <w:color w:val="auto"/>
                <w:sz w:val="24"/>
                <w:szCs w:val="24"/>
              </w:rPr>
            </w:pPr>
          </w:p>
        </w:tc>
        <w:tc>
          <w:tcPr>
            <w:tcW w:w="1704" w:type="dxa"/>
            <w:vAlign w:val="center"/>
          </w:tcPr>
          <w:p>
            <w:pPr>
              <w:spacing w:line="360" w:lineRule="auto"/>
              <w:jc w:val="center"/>
              <w:rPr>
                <w:rFonts w:ascii="宋体" w:hAnsi="宋体" w:cs="宋体"/>
                <w:color w:val="auto"/>
                <w:sz w:val="24"/>
                <w:szCs w:val="24"/>
              </w:rPr>
            </w:pPr>
          </w:p>
        </w:tc>
        <w:tc>
          <w:tcPr>
            <w:tcW w:w="1705" w:type="dxa"/>
            <w:vAlign w:val="center"/>
          </w:tcPr>
          <w:p>
            <w:pPr>
              <w:spacing w:line="360" w:lineRule="auto"/>
              <w:jc w:val="center"/>
              <w:rPr>
                <w:rFonts w:ascii="宋体" w:hAnsi="宋体" w:cs="宋体"/>
                <w:color w:val="auto"/>
                <w:sz w:val="24"/>
                <w:szCs w:val="24"/>
              </w:rPr>
            </w:pPr>
          </w:p>
        </w:tc>
        <w:tc>
          <w:tcPr>
            <w:tcW w:w="1705" w:type="dxa"/>
            <w:vAlign w:val="center"/>
          </w:tcPr>
          <w:p>
            <w:pPr>
              <w:spacing w:line="360" w:lineRule="auto"/>
              <w:jc w:val="center"/>
              <w:rPr>
                <w:rFonts w:ascii="宋体" w:hAnsi="宋体" w:cs="宋体"/>
                <w:color w:val="auto"/>
                <w:sz w:val="24"/>
                <w:szCs w:val="24"/>
              </w:rPr>
            </w:pPr>
          </w:p>
        </w:tc>
      </w:tr>
    </w:tbl>
    <w:p>
      <w:pPr>
        <w:spacing w:line="360" w:lineRule="auto"/>
        <w:rPr>
          <w:rFonts w:ascii="宋体" w:hAnsi="宋体" w:cs="宋体"/>
          <w:color w:val="auto"/>
          <w:sz w:val="24"/>
          <w:szCs w:val="24"/>
        </w:rPr>
      </w:pPr>
    </w:p>
    <w:p>
      <w:pPr>
        <w:spacing w:line="360" w:lineRule="auto"/>
        <w:rPr>
          <w:rFonts w:ascii="宋体" w:hAnsi="宋体" w:cs="宋体"/>
          <w:b/>
          <w:color w:val="auto"/>
          <w:sz w:val="24"/>
          <w:szCs w:val="24"/>
        </w:rPr>
      </w:pPr>
      <w:r>
        <w:rPr>
          <w:rFonts w:hint="eastAsia" w:ascii="宋体" w:hAnsi="宋体" w:cs="宋体"/>
          <w:b/>
          <w:color w:val="auto"/>
          <w:sz w:val="24"/>
          <w:szCs w:val="24"/>
        </w:rPr>
        <w:t>二、现场查勘</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1、公司接到报案后需要进行现场查勘的，应立即指派专门人员到达事故现场，市区内应在半小时内，郊区应在1小时内到达。</w:t>
      </w:r>
      <w:r>
        <w:rPr>
          <w:rFonts w:hint="eastAsia" w:ascii="宋体" w:hAnsi="宋体" w:cs="宋体"/>
          <w:b/>
          <w:bCs/>
          <w:color w:val="auto"/>
          <w:sz w:val="24"/>
          <w:szCs w:val="24"/>
        </w:rPr>
        <w:t>（</w:t>
      </w:r>
      <w:r>
        <w:rPr>
          <w:rFonts w:hint="eastAsia" w:ascii="宋体" w:hAnsi="宋体" w:cs="宋体"/>
          <w:b/>
          <w:bCs/>
          <w:color w:val="auto"/>
          <w:kern w:val="0"/>
          <w:sz w:val="24"/>
          <w:szCs w:val="24"/>
        </w:rPr>
        <w:t>项号7</w:t>
      </w:r>
      <w:r>
        <w:rPr>
          <w:rFonts w:hint="eastAsia" w:ascii="宋体" w:hAnsi="宋体" w:cs="宋体"/>
          <w:b/>
          <w:bCs/>
          <w:color w:val="auto"/>
          <w:sz w:val="24"/>
          <w:szCs w:val="24"/>
        </w:rPr>
        <w:t>）</w:t>
      </w:r>
    </w:p>
    <w:p>
      <w:pPr>
        <w:spacing w:line="360" w:lineRule="auto"/>
        <w:ind w:firstLine="480" w:firstLineChars="200"/>
        <w:rPr>
          <w:rFonts w:ascii="宋体" w:hAnsi="宋体" w:cs="宋体"/>
          <w:b/>
          <w:color w:val="auto"/>
          <w:sz w:val="24"/>
          <w:szCs w:val="24"/>
        </w:rPr>
      </w:pPr>
      <w:r>
        <w:rPr>
          <w:rFonts w:hint="eastAsia" w:ascii="宋体" w:hAnsi="宋体" w:cs="宋体"/>
          <w:color w:val="auto"/>
          <w:sz w:val="24"/>
          <w:szCs w:val="24"/>
        </w:rPr>
        <w:t>2、如保险公司无法按照约定时间到达事故现场，应以被保险人提供的现场照片、损失清单、事故说明、修理发票及其他证明材料作为赔付理算依据。</w:t>
      </w:r>
      <w:r>
        <w:rPr>
          <w:rFonts w:hint="eastAsia" w:ascii="宋体" w:hAnsi="宋体" w:cs="宋体"/>
          <w:b/>
          <w:bCs/>
          <w:color w:val="auto"/>
          <w:sz w:val="24"/>
          <w:szCs w:val="24"/>
        </w:rPr>
        <w:t>（</w:t>
      </w:r>
      <w:r>
        <w:rPr>
          <w:rFonts w:hint="eastAsia" w:ascii="宋体" w:hAnsi="宋体" w:cs="宋体"/>
          <w:b/>
          <w:bCs/>
          <w:color w:val="auto"/>
          <w:kern w:val="0"/>
          <w:sz w:val="24"/>
          <w:szCs w:val="24"/>
        </w:rPr>
        <w:t>项号8</w:t>
      </w:r>
      <w:r>
        <w:rPr>
          <w:rFonts w:hint="eastAsia" w:ascii="宋体" w:hAnsi="宋体" w:cs="宋体"/>
          <w:b/>
          <w:bCs/>
          <w:color w:val="auto"/>
          <w:sz w:val="24"/>
          <w:szCs w:val="24"/>
        </w:rPr>
        <w:t>）</w:t>
      </w:r>
    </w:p>
    <w:p>
      <w:pPr>
        <w:numPr>
          <w:ilvl w:val="0"/>
          <w:numId w:val="8"/>
        </w:numPr>
        <w:spacing w:line="360" w:lineRule="auto"/>
        <w:rPr>
          <w:rFonts w:ascii="宋体" w:hAnsi="宋体" w:cs="宋体"/>
          <w:b/>
          <w:color w:val="auto"/>
          <w:sz w:val="24"/>
          <w:szCs w:val="24"/>
        </w:rPr>
      </w:pPr>
      <w:r>
        <w:rPr>
          <w:rFonts w:hint="eastAsia" w:ascii="宋体" w:hAnsi="宋体" w:cs="宋体"/>
          <w:b/>
          <w:color w:val="auto"/>
          <w:sz w:val="24"/>
          <w:szCs w:val="24"/>
        </w:rPr>
        <w:t>机动车辆保险理赔约定</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1.保险机动车发生意外事故，未经交警认定事故责任但由双方初步协商判定被保险人承担全部或者部分责任时，保险人按本协议在保险赔偿限额内负责赔偿。</w:t>
      </w:r>
      <w:r>
        <w:rPr>
          <w:rFonts w:hint="eastAsia" w:ascii="宋体" w:hAnsi="宋体" w:cs="宋体"/>
          <w:b/>
          <w:bCs/>
          <w:color w:val="auto"/>
          <w:sz w:val="24"/>
          <w:szCs w:val="24"/>
        </w:rPr>
        <w:t>（</w:t>
      </w:r>
      <w:r>
        <w:rPr>
          <w:rFonts w:hint="eastAsia" w:ascii="宋体" w:hAnsi="宋体" w:cs="宋体"/>
          <w:b/>
          <w:bCs/>
          <w:color w:val="auto"/>
          <w:kern w:val="0"/>
          <w:sz w:val="24"/>
          <w:szCs w:val="24"/>
        </w:rPr>
        <w:t>项号9</w:t>
      </w:r>
      <w:r>
        <w:rPr>
          <w:rFonts w:hint="eastAsia" w:ascii="宋体" w:hAnsi="宋体" w:cs="宋体"/>
          <w:b/>
          <w:bCs/>
          <w:color w:val="auto"/>
          <w:sz w:val="24"/>
          <w:szCs w:val="24"/>
        </w:rPr>
        <w:t>）</w:t>
      </w:r>
      <w:r>
        <w:rPr>
          <w:rFonts w:hint="eastAsia" w:ascii="宋体" w:hAnsi="宋体" w:cs="宋体"/>
          <w:color w:val="auto"/>
          <w:sz w:val="24"/>
          <w:szCs w:val="24"/>
        </w:rPr>
        <w:t xml:space="preserve">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发生保险事故导致被保险人被提起仲裁或诉讼，对应由甲方支付的仲裁或诉讼费、经保险人事先书面同意的律师费、执行费以及其他费用，保险人负责赔偿；发生保险事故产生的检验费、鉴定费、评估费，保险人负责赔偿。此项不实行免赔。</w:t>
      </w:r>
      <w:r>
        <w:rPr>
          <w:rFonts w:hint="eastAsia" w:ascii="宋体" w:hAnsi="宋体" w:cs="宋体"/>
          <w:b/>
          <w:bCs/>
          <w:color w:val="auto"/>
          <w:sz w:val="24"/>
          <w:szCs w:val="24"/>
        </w:rPr>
        <w:t>（</w:t>
      </w:r>
      <w:r>
        <w:rPr>
          <w:rFonts w:hint="eastAsia" w:ascii="宋体" w:hAnsi="宋体" w:cs="宋体"/>
          <w:b/>
          <w:bCs/>
          <w:color w:val="auto"/>
          <w:kern w:val="0"/>
          <w:sz w:val="24"/>
          <w:szCs w:val="24"/>
        </w:rPr>
        <w:t>项号10</w:t>
      </w:r>
      <w:r>
        <w:rPr>
          <w:rFonts w:hint="eastAsia" w:ascii="宋体" w:hAnsi="宋体" w:cs="宋体"/>
          <w:b/>
          <w:bCs/>
          <w:color w:val="auto"/>
          <w:sz w:val="24"/>
          <w:szCs w:val="24"/>
        </w:rPr>
        <w:t>）</w:t>
      </w:r>
      <w:r>
        <w:rPr>
          <w:rFonts w:hint="eastAsia" w:ascii="宋体" w:hAnsi="宋体" w:cs="宋体"/>
          <w:color w:val="auto"/>
          <w:sz w:val="24"/>
          <w:szCs w:val="24"/>
        </w:rPr>
        <w:t xml:space="preserve">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3.对交通事故中因保险事故造成人员受伤在县级以上医院所产生的医疗费（含非医保药品）以及在县级以下医院的抢救费，保险人同意属交强险限额部分的按100%赔付；属商业险范围的按85%的比例赔付。</w:t>
      </w:r>
      <w:r>
        <w:rPr>
          <w:rFonts w:hint="eastAsia" w:ascii="宋体" w:hAnsi="宋体" w:cs="宋体"/>
          <w:b/>
          <w:bCs/>
          <w:color w:val="auto"/>
          <w:sz w:val="24"/>
          <w:szCs w:val="24"/>
        </w:rPr>
        <w:t>（</w:t>
      </w:r>
      <w:r>
        <w:rPr>
          <w:rFonts w:hint="eastAsia" w:ascii="宋体" w:hAnsi="宋体" w:cs="宋体"/>
          <w:b/>
          <w:bCs/>
          <w:color w:val="auto"/>
          <w:kern w:val="0"/>
          <w:sz w:val="24"/>
          <w:szCs w:val="24"/>
        </w:rPr>
        <w:t>项号11</w:t>
      </w:r>
      <w:r>
        <w:rPr>
          <w:rFonts w:hint="eastAsia" w:ascii="宋体" w:hAnsi="宋体" w:cs="宋体"/>
          <w:b/>
          <w:bCs/>
          <w:color w:val="auto"/>
          <w:sz w:val="24"/>
          <w:szCs w:val="24"/>
        </w:rPr>
        <w:t>）</w:t>
      </w:r>
      <w:r>
        <w:rPr>
          <w:rFonts w:hint="eastAsia" w:ascii="宋体" w:hAnsi="宋体" w:cs="宋体"/>
          <w:color w:val="auto"/>
          <w:sz w:val="24"/>
          <w:szCs w:val="24"/>
        </w:rPr>
        <w:t xml:space="preserve">  </w:t>
      </w:r>
    </w:p>
    <w:p>
      <w:p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4.继续治疗费、二次手术理赔约定</w:t>
      </w:r>
    </w:p>
    <w:p>
      <w:p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发生人伤事故，对于伤者根据医院的诊疗意见发生的出院后继续治疗费用，乙方同意赔偿，原则不超过医疗费总额的30%。</w:t>
      </w:r>
      <w:r>
        <w:rPr>
          <w:rFonts w:hint="eastAsia" w:ascii="宋体" w:hAnsi="宋体" w:cs="宋体"/>
          <w:b/>
          <w:bCs/>
          <w:color w:val="auto"/>
          <w:sz w:val="24"/>
          <w:szCs w:val="24"/>
        </w:rPr>
        <w:t>（</w:t>
      </w:r>
      <w:r>
        <w:rPr>
          <w:rFonts w:hint="eastAsia" w:ascii="宋体" w:hAnsi="宋体" w:cs="宋体"/>
          <w:b/>
          <w:bCs/>
          <w:color w:val="auto"/>
          <w:kern w:val="0"/>
          <w:sz w:val="24"/>
          <w:szCs w:val="24"/>
        </w:rPr>
        <w:t>项号12</w:t>
      </w:r>
      <w:r>
        <w:rPr>
          <w:rFonts w:hint="eastAsia" w:ascii="宋体" w:hAnsi="宋体" w:cs="宋体"/>
          <w:b/>
          <w:bCs/>
          <w:color w:val="auto"/>
          <w:sz w:val="24"/>
          <w:szCs w:val="24"/>
        </w:rPr>
        <w:t>）</w:t>
      </w:r>
      <w:r>
        <w:rPr>
          <w:rFonts w:hint="eastAsia" w:ascii="宋体" w:hAnsi="宋体" w:cs="宋体"/>
          <w:color w:val="auto"/>
          <w:sz w:val="24"/>
          <w:szCs w:val="24"/>
        </w:rPr>
        <w:t xml:space="preserve"> </w:t>
      </w:r>
    </w:p>
    <w:p>
      <w:p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二次手术费用，乙方同意，可参照医院证明或司法评估机构出具的报告，予以协商，给予支付。</w:t>
      </w:r>
      <w:r>
        <w:rPr>
          <w:rFonts w:hint="eastAsia" w:ascii="宋体" w:hAnsi="宋体" w:cs="宋体"/>
          <w:b/>
          <w:bCs/>
          <w:color w:val="auto"/>
          <w:sz w:val="24"/>
          <w:szCs w:val="24"/>
        </w:rPr>
        <w:t>（</w:t>
      </w:r>
      <w:r>
        <w:rPr>
          <w:rFonts w:hint="eastAsia" w:ascii="宋体" w:hAnsi="宋体" w:cs="宋体"/>
          <w:b/>
          <w:bCs/>
          <w:color w:val="auto"/>
          <w:kern w:val="0"/>
          <w:sz w:val="24"/>
          <w:szCs w:val="24"/>
        </w:rPr>
        <w:t>项号13</w:t>
      </w:r>
      <w:r>
        <w:rPr>
          <w:rFonts w:hint="eastAsia" w:ascii="宋体" w:hAnsi="宋体" w:cs="宋体"/>
          <w:b/>
          <w:bCs/>
          <w:color w:val="auto"/>
          <w:sz w:val="24"/>
          <w:szCs w:val="24"/>
        </w:rPr>
        <w:t>）</w:t>
      </w:r>
      <w:r>
        <w:rPr>
          <w:rFonts w:hint="eastAsia" w:ascii="宋体" w:hAnsi="宋体" w:cs="宋体"/>
          <w:color w:val="auto"/>
          <w:sz w:val="24"/>
          <w:szCs w:val="24"/>
        </w:rPr>
        <w:t xml:space="preserve">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被保险人发生第三者人身受伤或财产损失的事故，每次损失金额在5000元（含）以下的事故，由被保险人向乙方24小时服务专线电话（***）备案后全权处理，被保险人需提供清晰明确的现场事故视频或照片，若无相关影像资料则需提供交警事故认定书。其中人伤案件医疗费用给付应以费用凭证为据且不得超过3000元（含），一次性现金补偿金额不得超过2000元（含）。乙方应对被保险人在以上金额内全权处理的案件予以认可。</w:t>
      </w:r>
      <w:r>
        <w:rPr>
          <w:rFonts w:hint="eastAsia" w:ascii="宋体" w:hAnsi="宋体" w:cs="宋体"/>
          <w:b/>
          <w:bCs/>
          <w:color w:val="auto"/>
          <w:sz w:val="24"/>
          <w:szCs w:val="24"/>
        </w:rPr>
        <w:t>（</w:t>
      </w:r>
      <w:r>
        <w:rPr>
          <w:rFonts w:hint="eastAsia" w:ascii="宋体" w:hAnsi="宋体" w:cs="宋体"/>
          <w:b/>
          <w:bCs/>
          <w:color w:val="auto"/>
          <w:kern w:val="0"/>
          <w:sz w:val="24"/>
          <w:szCs w:val="24"/>
        </w:rPr>
        <w:t>项号14</w:t>
      </w:r>
      <w:r>
        <w:rPr>
          <w:rFonts w:hint="eastAsia" w:ascii="宋体" w:hAnsi="宋体" w:cs="宋体"/>
          <w:b/>
          <w:bCs/>
          <w:color w:val="auto"/>
          <w:sz w:val="24"/>
          <w:szCs w:val="24"/>
        </w:rPr>
        <w:t>）</w:t>
      </w:r>
      <w:r>
        <w:rPr>
          <w:rFonts w:hint="eastAsia" w:ascii="宋体" w:hAnsi="宋体" w:cs="宋体"/>
          <w:color w:val="auto"/>
          <w:sz w:val="24"/>
          <w:szCs w:val="24"/>
        </w:rPr>
        <w:t xml:space="preserve">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对于属于保险责任范围内的事故，事故责任全部或部分由第三方造成，在符合代位追偿条件要求的前提下，保险公司应按照本协议规定在保险金额范围内先予赔偿被保险人的损失，被保险人将代位追偿权利转让给保险公司，在赔偿金额范围内由保险公司代位行使追偿权，被保险人应协助保险公司向第三方进行追偿。</w:t>
      </w:r>
      <w:r>
        <w:rPr>
          <w:rFonts w:hint="eastAsia" w:ascii="宋体" w:hAnsi="宋体" w:cs="宋体"/>
          <w:b/>
          <w:bCs/>
          <w:color w:val="auto"/>
          <w:sz w:val="24"/>
          <w:szCs w:val="24"/>
        </w:rPr>
        <w:t>（</w:t>
      </w:r>
      <w:r>
        <w:rPr>
          <w:rFonts w:hint="eastAsia" w:ascii="宋体" w:hAnsi="宋体" w:cs="宋体"/>
          <w:b/>
          <w:bCs/>
          <w:color w:val="auto"/>
          <w:kern w:val="0"/>
          <w:sz w:val="24"/>
          <w:szCs w:val="24"/>
        </w:rPr>
        <w:t>项号15</w:t>
      </w:r>
      <w:r>
        <w:rPr>
          <w:rFonts w:hint="eastAsia" w:ascii="宋体" w:hAnsi="宋体" w:cs="宋体"/>
          <w:b/>
          <w:bCs/>
          <w:color w:val="auto"/>
          <w:sz w:val="24"/>
          <w:szCs w:val="24"/>
        </w:rPr>
        <w:t>）</w:t>
      </w:r>
      <w:r>
        <w:rPr>
          <w:rFonts w:hint="eastAsia" w:ascii="宋体" w:hAnsi="宋体" w:cs="宋体"/>
          <w:color w:val="auto"/>
          <w:sz w:val="24"/>
          <w:szCs w:val="24"/>
        </w:rPr>
        <w:t xml:space="preserve"> </w:t>
      </w:r>
    </w:p>
    <w:p>
      <w:pPr>
        <w:numPr>
          <w:ilvl w:val="0"/>
          <w:numId w:val="8"/>
        </w:numPr>
        <w:spacing w:line="360" w:lineRule="auto"/>
        <w:rPr>
          <w:rFonts w:ascii="宋体" w:hAnsi="宋体" w:cs="宋体"/>
          <w:b/>
          <w:color w:val="auto"/>
          <w:sz w:val="24"/>
          <w:szCs w:val="24"/>
        </w:rPr>
      </w:pPr>
      <w:r>
        <w:rPr>
          <w:rFonts w:hint="eastAsia" w:ascii="宋体" w:hAnsi="宋体" w:cs="宋体"/>
          <w:b/>
          <w:color w:val="auto"/>
          <w:sz w:val="24"/>
          <w:szCs w:val="24"/>
        </w:rPr>
        <w:t>道路客运承运人责任保险理赔约定</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1.乘客在乘坐保险机动车过程中发生意外伤害事故，致使乘客遭受人身伤亡，无法认定是否属于被保险人责任时，保险人按保险条款在保险赔偿限额内负责赔偿。</w:t>
      </w:r>
      <w:r>
        <w:rPr>
          <w:rFonts w:hint="eastAsia" w:ascii="宋体" w:hAnsi="宋体" w:cs="宋体"/>
          <w:b/>
          <w:bCs/>
          <w:color w:val="auto"/>
          <w:sz w:val="24"/>
          <w:szCs w:val="24"/>
        </w:rPr>
        <w:t>（</w:t>
      </w:r>
      <w:r>
        <w:rPr>
          <w:rFonts w:hint="eastAsia" w:ascii="宋体" w:hAnsi="宋体" w:cs="宋体"/>
          <w:b/>
          <w:bCs/>
          <w:color w:val="auto"/>
          <w:kern w:val="0"/>
          <w:sz w:val="24"/>
          <w:szCs w:val="24"/>
        </w:rPr>
        <w:t>项号16</w:t>
      </w:r>
      <w:r>
        <w:rPr>
          <w:rFonts w:hint="eastAsia" w:ascii="宋体" w:hAnsi="宋体" w:cs="宋体"/>
          <w:b/>
          <w:bCs/>
          <w:color w:val="auto"/>
          <w:sz w:val="24"/>
          <w:szCs w:val="24"/>
        </w:rPr>
        <w:t>）</w:t>
      </w:r>
      <w:r>
        <w:rPr>
          <w:rFonts w:hint="eastAsia" w:ascii="宋体" w:hAnsi="宋体" w:cs="宋体"/>
          <w:color w:val="auto"/>
          <w:sz w:val="24"/>
          <w:szCs w:val="24"/>
        </w:rPr>
        <w:t xml:space="preserve"> </w:t>
      </w:r>
    </w:p>
    <w:p>
      <w:pPr>
        <w:tabs>
          <w:tab w:val="left" w:pos="0"/>
          <w:tab w:val="left" w:pos="360"/>
        </w:tabs>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赔偿依据：保险机动车发生保险事故造成乘客的人身伤亡时，按照《最高人民法院关于审理人身损害赔偿案件适用法律若干问题的解释》〔法释（２００３）２０号〕规定的赔偿范围、项目和标准，在本协议载明的赔偿限额内进行赔偿，但每次事故每人最高赔偿金额不得超过本协议约定的每人赔偿限额。</w:t>
      </w:r>
      <w:r>
        <w:rPr>
          <w:rFonts w:hint="eastAsia" w:ascii="宋体" w:hAnsi="宋体" w:cs="宋体"/>
          <w:b/>
          <w:bCs/>
          <w:color w:val="auto"/>
          <w:sz w:val="24"/>
          <w:szCs w:val="24"/>
        </w:rPr>
        <w:t>（</w:t>
      </w:r>
      <w:r>
        <w:rPr>
          <w:rFonts w:hint="eastAsia" w:ascii="宋体" w:hAnsi="宋体" w:cs="宋体"/>
          <w:b/>
          <w:bCs/>
          <w:color w:val="auto"/>
          <w:kern w:val="0"/>
          <w:sz w:val="24"/>
          <w:szCs w:val="24"/>
        </w:rPr>
        <w:t>项号17</w:t>
      </w:r>
      <w:r>
        <w:rPr>
          <w:rFonts w:hint="eastAsia" w:ascii="宋体" w:hAnsi="宋体" w:cs="宋体"/>
          <w:b/>
          <w:bCs/>
          <w:color w:val="auto"/>
          <w:sz w:val="24"/>
          <w:szCs w:val="24"/>
        </w:rPr>
        <w:t>）</w:t>
      </w:r>
      <w:r>
        <w:rPr>
          <w:rFonts w:hint="eastAsia" w:ascii="宋体" w:hAnsi="宋体" w:cs="宋体"/>
          <w:color w:val="auto"/>
          <w:sz w:val="24"/>
          <w:szCs w:val="24"/>
        </w:rPr>
        <w:t xml:space="preserve"> </w:t>
      </w:r>
    </w:p>
    <w:p>
      <w:pPr>
        <w:tabs>
          <w:tab w:val="left" w:pos="0"/>
          <w:tab w:val="left" w:pos="360"/>
        </w:tabs>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3.乘客人伤事故核损中，乙方对于在伤者治疗期间的非医保目录用药予以认可（非对症用药除外）。甲方在处理伤者治疗中，应尽量协助乙方做好医疗费用控制工作。</w:t>
      </w:r>
      <w:r>
        <w:rPr>
          <w:rFonts w:hint="eastAsia" w:ascii="宋体" w:hAnsi="宋体" w:cs="宋体"/>
          <w:b/>
          <w:bCs/>
          <w:color w:val="auto"/>
          <w:sz w:val="24"/>
          <w:szCs w:val="24"/>
        </w:rPr>
        <w:t>（</w:t>
      </w:r>
      <w:r>
        <w:rPr>
          <w:rFonts w:hint="eastAsia" w:ascii="宋体" w:hAnsi="宋体" w:cs="宋体"/>
          <w:b/>
          <w:bCs/>
          <w:color w:val="auto"/>
          <w:kern w:val="0"/>
          <w:sz w:val="24"/>
          <w:szCs w:val="24"/>
        </w:rPr>
        <w:t>项号18</w:t>
      </w:r>
      <w:r>
        <w:rPr>
          <w:rFonts w:hint="eastAsia" w:ascii="宋体" w:hAnsi="宋体" w:cs="宋体"/>
          <w:b/>
          <w:bCs/>
          <w:color w:val="auto"/>
          <w:sz w:val="24"/>
          <w:szCs w:val="24"/>
        </w:rPr>
        <w:t>）</w:t>
      </w:r>
      <w:r>
        <w:rPr>
          <w:rFonts w:hint="eastAsia" w:ascii="宋体" w:hAnsi="宋体" w:cs="宋体"/>
          <w:color w:val="auto"/>
          <w:sz w:val="24"/>
          <w:szCs w:val="24"/>
        </w:rPr>
        <w:t xml:space="preserve">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乘客人伤每人次损失金额在3000元（含）以下的事故，由被保险人向乙方24小时服务专线电话（***）备案后全权处理，被保险人需提供清晰明确的现场事故视频或照片，若无相关影像资料则需提供交警事故认定书。其中医疗费用给付应以费用凭证为据且不得超过2000元（含），一次性现金补偿金额不得超过2000元（含）。乙方应对被保险人在以上金额内全权处理的案件予以认可。</w:t>
      </w:r>
      <w:r>
        <w:rPr>
          <w:rFonts w:hint="eastAsia" w:ascii="宋体" w:hAnsi="宋体" w:cs="宋体"/>
          <w:b/>
          <w:bCs/>
          <w:color w:val="auto"/>
          <w:sz w:val="24"/>
          <w:szCs w:val="24"/>
        </w:rPr>
        <w:t>（</w:t>
      </w:r>
      <w:r>
        <w:rPr>
          <w:rFonts w:hint="eastAsia" w:ascii="宋体" w:hAnsi="宋体" w:cs="宋体"/>
          <w:b/>
          <w:bCs/>
          <w:color w:val="auto"/>
          <w:kern w:val="0"/>
          <w:sz w:val="24"/>
          <w:szCs w:val="24"/>
        </w:rPr>
        <w:t>项号19</w:t>
      </w:r>
      <w:r>
        <w:rPr>
          <w:rFonts w:hint="eastAsia" w:ascii="宋体" w:hAnsi="宋体" w:cs="宋体"/>
          <w:b/>
          <w:bCs/>
          <w:color w:val="auto"/>
          <w:sz w:val="24"/>
          <w:szCs w:val="24"/>
        </w:rPr>
        <w:t>）</w:t>
      </w:r>
      <w:r>
        <w:rPr>
          <w:rFonts w:hint="eastAsia" w:ascii="宋体" w:hAnsi="宋体" w:cs="宋体"/>
          <w:color w:val="auto"/>
          <w:sz w:val="24"/>
          <w:szCs w:val="24"/>
        </w:rPr>
        <w:t xml:space="preserve">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乘客人伤需紧急救治的，甲方可及时将伤者就近送入医疗机构，同时通知乙方，乙方应派员及时赶往事故现场和医疗机构了解人员救治及处理情况，全程跟踪案件处理进程，应甲方的要求，乙方应在预估限额内先行垫付医疗费用，并参与协助被保险人与第三方调解或诉讼事宜。</w:t>
      </w:r>
      <w:r>
        <w:rPr>
          <w:rFonts w:hint="eastAsia" w:ascii="宋体" w:hAnsi="宋体" w:cs="宋体"/>
          <w:b/>
          <w:bCs/>
          <w:color w:val="auto"/>
          <w:sz w:val="24"/>
          <w:szCs w:val="24"/>
        </w:rPr>
        <w:t>（</w:t>
      </w:r>
      <w:r>
        <w:rPr>
          <w:rFonts w:hint="eastAsia" w:ascii="宋体" w:hAnsi="宋体" w:cs="宋体"/>
          <w:b/>
          <w:bCs/>
          <w:color w:val="auto"/>
          <w:kern w:val="0"/>
          <w:sz w:val="24"/>
          <w:szCs w:val="24"/>
        </w:rPr>
        <w:t>项号20</w:t>
      </w:r>
      <w:r>
        <w:rPr>
          <w:rFonts w:hint="eastAsia" w:ascii="宋体" w:hAnsi="宋体" w:cs="宋体"/>
          <w:b/>
          <w:bCs/>
          <w:color w:val="auto"/>
          <w:sz w:val="24"/>
          <w:szCs w:val="24"/>
        </w:rPr>
        <w:t>）</w:t>
      </w:r>
      <w:r>
        <w:rPr>
          <w:rFonts w:hint="eastAsia" w:ascii="宋体" w:hAnsi="宋体" w:cs="宋体"/>
          <w:color w:val="auto"/>
          <w:sz w:val="24"/>
          <w:szCs w:val="24"/>
        </w:rPr>
        <w:t xml:space="preserve">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6.索赔单证</w:t>
      </w:r>
    </w:p>
    <w:p>
      <w:pPr>
        <w:spacing w:line="360" w:lineRule="auto"/>
        <w:rPr>
          <w:rFonts w:ascii="宋体" w:hAnsi="宋体" w:cs="宋体"/>
          <w:color w:val="auto"/>
          <w:sz w:val="24"/>
          <w:szCs w:val="24"/>
        </w:rPr>
      </w:pPr>
      <w:r>
        <w:rPr>
          <w:rFonts w:hint="eastAsia" w:ascii="宋体" w:hAnsi="宋体" w:cs="宋体"/>
          <w:color w:val="auto"/>
          <w:sz w:val="24"/>
          <w:szCs w:val="24"/>
        </w:rPr>
        <w:t xml:space="preserve">  （1）授权理赔的小额赔案（赔款金额3000元及以下）</w:t>
      </w:r>
    </w:p>
    <w:p>
      <w:pPr>
        <w:numPr>
          <w:ilvl w:val="0"/>
          <w:numId w:val="9"/>
        </w:numPr>
        <w:spacing w:line="360" w:lineRule="auto"/>
        <w:ind w:left="845"/>
        <w:rPr>
          <w:rFonts w:ascii="宋体" w:hAnsi="宋体" w:cs="宋体"/>
          <w:color w:val="auto"/>
          <w:sz w:val="24"/>
          <w:szCs w:val="24"/>
        </w:rPr>
      </w:pPr>
      <w:r>
        <w:rPr>
          <w:rFonts w:hint="eastAsia" w:ascii="宋体" w:hAnsi="宋体" w:cs="宋体"/>
          <w:color w:val="auto"/>
          <w:sz w:val="24"/>
          <w:szCs w:val="24"/>
        </w:rPr>
        <w:t>索赔申请书及委托书；</w:t>
      </w:r>
    </w:p>
    <w:p>
      <w:pPr>
        <w:numPr>
          <w:ilvl w:val="0"/>
          <w:numId w:val="9"/>
        </w:numPr>
        <w:spacing w:line="360" w:lineRule="auto"/>
        <w:ind w:left="845"/>
        <w:rPr>
          <w:rFonts w:ascii="宋体" w:hAnsi="宋体" w:cs="宋体"/>
          <w:color w:val="auto"/>
          <w:sz w:val="24"/>
          <w:szCs w:val="24"/>
        </w:rPr>
      </w:pPr>
      <w:r>
        <w:rPr>
          <w:rFonts w:hint="eastAsia" w:ascii="宋体" w:hAnsi="宋体" w:cs="宋体"/>
          <w:color w:val="auto"/>
          <w:sz w:val="24"/>
          <w:szCs w:val="24"/>
        </w:rPr>
        <w:t>伤者身份证明、联系方式、伤者照片，至少应提供其中一项；</w:t>
      </w:r>
    </w:p>
    <w:p>
      <w:pPr>
        <w:numPr>
          <w:ilvl w:val="0"/>
          <w:numId w:val="9"/>
        </w:numPr>
        <w:spacing w:line="360" w:lineRule="auto"/>
        <w:ind w:left="845"/>
        <w:rPr>
          <w:rFonts w:ascii="宋体" w:hAnsi="宋体" w:cs="宋体"/>
          <w:color w:val="auto"/>
          <w:sz w:val="24"/>
          <w:szCs w:val="24"/>
        </w:rPr>
      </w:pPr>
      <w:r>
        <w:rPr>
          <w:rFonts w:hint="eastAsia" w:ascii="宋体" w:hAnsi="宋体" w:cs="宋体"/>
          <w:color w:val="auto"/>
          <w:sz w:val="24"/>
          <w:szCs w:val="24"/>
        </w:rPr>
        <w:t>事故现场照片；</w:t>
      </w:r>
    </w:p>
    <w:p>
      <w:pPr>
        <w:numPr>
          <w:ilvl w:val="0"/>
          <w:numId w:val="9"/>
        </w:numPr>
        <w:spacing w:line="360" w:lineRule="auto"/>
        <w:ind w:left="845"/>
        <w:rPr>
          <w:rFonts w:ascii="宋体" w:hAnsi="宋体" w:cs="宋体"/>
          <w:color w:val="auto"/>
          <w:sz w:val="24"/>
          <w:szCs w:val="24"/>
        </w:rPr>
      </w:pPr>
      <w:r>
        <w:rPr>
          <w:rFonts w:hint="eastAsia" w:ascii="宋体" w:hAnsi="宋体" w:cs="宋体"/>
          <w:color w:val="auto"/>
          <w:sz w:val="24"/>
          <w:szCs w:val="24"/>
        </w:rPr>
        <w:t>伤者赔偿收据及医疗费用凭证、清单、病历；</w:t>
      </w:r>
    </w:p>
    <w:p>
      <w:pPr>
        <w:numPr>
          <w:ilvl w:val="0"/>
          <w:numId w:val="9"/>
        </w:numPr>
        <w:spacing w:line="360" w:lineRule="auto"/>
        <w:ind w:left="845"/>
        <w:rPr>
          <w:rFonts w:ascii="宋体" w:hAnsi="宋体" w:cs="宋体"/>
          <w:color w:val="auto"/>
          <w:sz w:val="24"/>
          <w:szCs w:val="24"/>
        </w:rPr>
      </w:pPr>
      <w:r>
        <w:rPr>
          <w:rFonts w:hint="eastAsia" w:ascii="宋体" w:hAnsi="宋体" w:cs="宋体"/>
          <w:color w:val="auto"/>
          <w:sz w:val="24"/>
          <w:szCs w:val="24"/>
        </w:rPr>
        <w:t>被保险人出具的事故经过报告；</w:t>
      </w:r>
    </w:p>
    <w:p>
      <w:pPr>
        <w:numPr>
          <w:ilvl w:val="0"/>
          <w:numId w:val="9"/>
        </w:numPr>
        <w:spacing w:line="360" w:lineRule="auto"/>
        <w:ind w:left="845"/>
        <w:rPr>
          <w:rFonts w:ascii="宋体" w:hAnsi="宋体" w:cs="宋体"/>
          <w:color w:val="auto"/>
          <w:sz w:val="24"/>
          <w:szCs w:val="24"/>
        </w:rPr>
      </w:pPr>
      <w:r>
        <w:rPr>
          <w:rFonts w:hint="eastAsia" w:ascii="宋体" w:hAnsi="宋体" w:cs="宋体"/>
          <w:color w:val="auto"/>
          <w:sz w:val="24"/>
          <w:szCs w:val="24"/>
        </w:rPr>
        <w:t>行驶证、驾驶证复印件。</w:t>
      </w:r>
    </w:p>
    <w:p>
      <w:pPr>
        <w:spacing w:line="360" w:lineRule="auto"/>
        <w:rPr>
          <w:rFonts w:ascii="宋体" w:hAnsi="宋体" w:cs="宋体"/>
          <w:color w:val="auto"/>
          <w:sz w:val="24"/>
          <w:szCs w:val="24"/>
        </w:rPr>
      </w:pPr>
      <w:r>
        <w:rPr>
          <w:rFonts w:hint="eastAsia" w:ascii="宋体" w:hAnsi="宋体" w:cs="宋体"/>
          <w:color w:val="auto"/>
          <w:sz w:val="24"/>
          <w:szCs w:val="24"/>
        </w:rPr>
        <w:t xml:space="preserve">  （2）赔款金额在3000元以上的赔案</w:t>
      </w:r>
    </w:p>
    <w:p>
      <w:pPr>
        <w:numPr>
          <w:ilvl w:val="0"/>
          <w:numId w:val="10"/>
        </w:numPr>
        <w:tabs>
          <w:tab w:val="clear" w:pos="425"/>
        </w:tabs>
        <w:spacing w:line="360" w:lineRule="auto"/>
        <w:ind w:left="845"/>
        <w:rPr>
          <w:rFonts w:ascii="宋体" w:hAnsi="宋体" w:cs="宋体"/>
          <w:color w:val="auto"/>
          <w:sz w:val="24"/>
          <w:szCs w:val="24"/>
        </w:rPr>
      </w:pPr>
      <w:r>
        <w:rPr>
          <w:rFonts w:hint="eastAsia" w:ascii="宋体" w:hAnsi="宋体" w:cs="宋体"/>
          <w:color w:val="auto"/>
          <w:sz w:val="24"/>
          <w:szCs w:val="24"/>
        </w:rPr>
        <w:t>索赔申请书及委托书；</w:t>
      </w:r>
    </w:p>
    <w:p>
      <w:pPr>
        <w:numPr>
          <w:ilvl w:val="0"/>
          <w:numId w:val="10"/>
        </w:numPr>
        <w:tabs>
          <w:tab w:val="clear" w:pos="425"/>
        </w:tabs>
        <w:spacing w:line="360" w:lineRule="auto"/>
        <w:ind w:left="845"/>
        <w:rPr>
          <w:rFonts w:ascii="宋体" w:hAnsi="宋体" w:cs="宋体"/>
          <w:color w:val="auto"/>
          <w:sz w:val="24"/>
          <w:szCs w:val="24"/>
        </w:rPr>
      </w:pPr>
      <w:r>
        <w:rPr>
          <w:rFonts w:hint="eastAsia" w:ascii="宋体" w:hAnsi="宋体" w:cs="宋体"/>
          <w:color w:val="auto"/>
          <w:sz w:val="24"/>
          <w:szCs w:val="24"/>
        </w:rPr>
        <w:t>甲方出具的事故经过报告或相关事故证明；</w:t>
      </w:r>
    </w:p>
    <w:p>
      <w:pPr>
        <w:numPr>
          <w:ilvl w:val="0"/>
          <w:numId w:val="10"/>
        </w:numPr>
        <w:tabs>
          <w:tab w:val="clear" w:pos="425"/>
        </w:tabs>
        <w:spacing w:line="360" w:lineRule="auto"/>
        <w:ind w:left="845"/>
        <w:rPr>
          <w:rFonts w:ascii="宋体" w:hAnsi="宋体" w:cs="宋体"/>
          <w:color w:val="auto"/>
          <w:sz w:val="24"/>
          <w:szCs w:val="24"/>
        </w:rPr>
      </w:pPr>
      <w:r>
        <w:rPr>
          <w:rFonts w:hint="eastAsia" w:ascii="宋体" w:hAnsi="宋体" w:cs="宋体"/>
          <w:color w:val="auto"/>
          <w:sz w:val="24"/>
          <w:szCs w:val="24"/>
        </w:rPr>
        <w:t>医院就诊单据，包括病历、发票、出院小结、用药清单等；</w:t>
      </w:r>
    </w:p>
    <w:p>
      <w:pPr>
        <w:numPr>
          <w:ilvl w:val="0"/>
          <w:numId w:val="10"/>
        </w:numPr>
        <w:tabs>
          <w:tab w:val="clear" w:pos="425"/>
        </w:tabs>
        <w:spacing w:line="360" w:lineRule="auto"/>
        <w:ind w:left="845"/>
        <w:rPr>
          <w:rFonts w:ascii="宋体" w:hAnsi="宋体" w:cs="宋体"/>
          <w:color w:val="auto"/>
          <w:sz w:val="24"/>
          <w:szCs w:val="24"/>
        </w:rPr>
      </w:pPr>
      <w:r>
        <w:rPr>
          <w:rFonts w:hint="eastAsia" w:ascii="宋体" w:hAnsi="宋体" w:cs="宋体"/>
          <w:color w:val="auto"/>
          <w:sz w:val="24"/>
          <w:szCs w:val="24"/>
        </w:rPr>
        <w:t>伤者伤残时，需提供伤残等级证明；</w:t>
      </w:r>
    </w:p>
    <w:p>
      <w:pPr>
        <w:numPr>
          <w:ilvl w:val="0"/>
          <w:numId w:val="10"/>
        </w:numPr>
        <w:tabs>
          <w:tab w:val="clear" w:pos="425"/>
        </w:tabs>
        <w:spacing w:line="360" w:lineRule="auto"/>
        <w:ind w:left="845"/>
        <w:rPr>
          <w:rFonts w:ascii="宋体" w:hAnsi="宋体" w:cs="宋体"/>
          <w:color w:val="auto"/>
          <w:sz w:val="24"/>
          <w:szCs w:val="24"/>
        </w:rPr>
      </w:pPr>
      <w:r>
        <w:rPr>
          <w:rFonts w:hint="eastAsia" w:ascii="宋体" w:hAnsi="宋体" w:cs="宋体"/>
          <w:color w:val="auto"/>
          <w:sz w:val="24"/>
          <w:szCs w:val="24"/>
        </w:rPr>
        <w:t>伤者死亡时，需提供死亡证明及户籍注销证明；</w:t>
      </w:r>
    </w:p>
    <w:p>
      <w:pPr>
        <w:numPr>
          <w:ilvl w:val="0"/>
          <w:numId w:val="10"/>
        </w:numPr>
        <w:tabs>
          <w:tab w:val="clear" w:pos="425"/>
        </w:tabs>
        <w:spacing w:line="360" w:lineRule="auto"/>
        <w:ind w:left="845"/>
        <w:rPr>
          <w:rFonts w:ascii="宋体" w:hAnsi="宋体" w:cs="宋体"/>
          <w:color w:val="auto"/>
          <w:sz w:val="24"/>
          <w:szCs w:val="24"/>
        </w:rPr>
      </w:pPr>
      <w:r>
        <w:rPr>
          <w:rFonts w:hint="eastAsia" w:ascii="宋体" w:hAnsi="宋体" w:cs="宋体"/>
          <w:color w:val="auto"/>
          <w:sz w:val="24"/>
          <w:szCs w:val="24"/>
        </w:rPr>
        <w:t>涉及被抚养人生活费的赔偿时，需提供被抚养人的有关证明；</w:t>
      </w:r>
    </w:p>
    <w:p>
      <w:pPr>
        <w:numPr>
          <w:ilvl w:val="0"/>
          <w:numId w:val="10"/>
        </w:numPr>
        <w:tabs>
          <w:tab w:val="clear" w:pos="425"/>
        </w:tabs>
        <w:spacing w:line="360" w:lineRule="auto"/>
        <w:ind w:left="845"/>
        <w:rPr>
          <w:rFonts w:ascii="宋体" w:hAnsi="宋体" w:cs="宋体"/>
          <w:color w:val="auto"/>
          <w:sz w:val="24"/>
          <w:szCs w:val="24"/>
        </w:rPr>
      </w:pPr>
      <w:r>
        <w:rPr>
          <w:rFonts w:hint="eastAsia" w:ascii="宋体" w:hAnsi="宋体" w:cs="宋体"/>
          <w:color w:val="auto"/>
          <w:sz w:val="24"/>
          <w:szCs w:val="24"/>
        </w:rPr>
        <w:t>被保险人与伤者的赔偿协议、赔偿凭证或法院仲裁机构的判决书；</w:t>
      </w:r>
    </w:p>
    <w:p>
      <w:pPr>
        <w:numPr>
          <w:ilvl w:val="0"/>
          <w:numId w:val="10"/>
        </w:numPr>
        <w:tabs>
          <w:tab w:val="clear" w:pos="425"/>
        </w:tabs>
        <w:spacing w:line="360" w:lineRule="auto"/>
        <w:ind w:left="845"/>
        <w:rPr>
          <w:rFonts w:ascii="宋体" w:hAnsi="宋体" w:cs="宋体"/>
          <w:color w:val="auto"/>
          <w:sz w:val="24"/>
          <w:szCs w:val="24"/>
        </w:rPr>
      </w:pPr>
      <w:r>
        <w:rPr>
          <w:rFonts w:hint="eastAsia" w:ascii="宋体" w:hAnsi="宋体" w:cs="宋体"/>
          <w:color w:val="auto"/>
          <w:sz w:val="24"/>
          <w:szCs w:val="24"/>
        </w:rPr>
        <w:t>符合其它赔偿项目及标准的索赔单据；</w:t>
      </w:r>
    </w:p>
    <w:p>
      <w:pPr>
        <w:numPr>
          <w:ilvl w:val="0"/>
          <w:numId w:val="10"/>
        </w:numPr>
        <w:tabs>
          <w:tab w:val="clear" w:pos="425"/>
        </w:tabs>
        <w:spacing w:line="360" w:lineRule="auto"/>
        <w:ind w:left="845"/>
        <w:rPr>
          <w:rFonts w:ascii="宋体" w:hAnsi="宋体" w:cs="宋体"/>
          <w:color w:val="auto"/>
          <w:sz w:val="24"/>
          <w:szCs w:val="24"/>
        </w:rPr>
      </w:pPr>
      <w:r>
        <w:rPr>
          <w:rFonts w:hint="eastAsia" w:ascii="宋体" w:hAnsi="宋体" w:cs="宋体"/>
          <w:color w:val="auto"/>
          <w:sz w:val="24"/>
          <w:szCs w:val="24"/>
        </w:rPr>
        <w:t>行驶证、驾驶证复印件；</w:t>
      </w:r>
    </w:p>
    <w:p>
      <w:pPr>
        <w:numPr>
          <w:ilvl w:val="0"/>
          <w:numId w:val="10"/>
        </w:numPr>
        <w:tabs>
          <w:tab w:val="clear" w:pos="425"/>
        </w:tabs>
        <w:spacing w:line="360" w:lineRule="auto"/>
        <w:ind w:left="845"/>
        <w:rPr>
          <w:rFonts w:ascii="宋体" w:hAnsi="宋体" w:cs="宋体"/>
          <w:color w:val="auto"/>
          <w:sz w:val="24"/>
          <w:szCs w:val="24"/>
        </w:rPr>
      </w:pPr>
      <w:r>
        <w:rPr>
          <w:rFonts w:hint="eastAsia" w:ascii="宋体" w:hAnsi="宋体" w:cs="宋体"/>
          <w:color w:val="auto"/>
          <w:sz w:val="24"/>
          <w:szCs w:val="24"/>
        </w:rPr>
        <w:t>伤者身份证复印件。</w:t>
      </w:r>
    </w:p>
    <w:p>
      <w:p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7.无责赔付</w:t>
      </w:r>
      <w:r>
        <w:rPr>
          <w:rFonts w:hint="eastAsia" w:ascii="宋体" w:hAnsi="宋体" w:cs="宋体"/>
          <w:b/>
          <w:bCs/>
          <w:color w:val="auto"/>
          <w:sz w:val="24"/>
          <w:szCs w:val="24"/>
        </w:rPr>
        <w:t>（</w:t>
      </w:r>
      <w:r>
        <w:rPr>
          <w:rFonts w:hint="eastAsia" w:ascii="宋体" w:hAnsi="宋体" w:cs="宋体"/>
          <w:b/>
          <w:bCs/>
          <w:color w:val="auto"/>
          <w:kern w:val="0"/>
          <w:sz w:val="24"/>
          <w:szCs w:val="24"/>
        </w:rPr>
        <w:t>项号21</w:t>
      </w:r>
      <w:r>
        <w:rPr>
          <w:rFonts w:hint="eastAsia" w:ascii="宋体" w:hAnsi="宋体" w:cs="宋体"/>
          <w:b/>
          <w:bCs/>
          <w:color w:val="auto"/>
          <w:sz w:val="24"/>
          <w:szCs w:val="24"/>
        </w:rPr>
        <w:t>）</w:t>
      </w:r>
      <w:r>
        <w:rPr>
          <w:rFonts w:hint="eastAsia" w:ascii="宋体" w:hAnsi="宋体" w:cs="宋体"/>
          <w:color w:val="auto"/>
          <w:sz w:val="24"/>
          <w:szCs w:val="24"/>
        </w:rPr>
        <w:t xml:space="preserve"> </w:t>
      </w:r>
    </w:p>
    <w:p>
      <w:p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在保险期间，发生保险事故造成旅客的人身伤亡或财产损失，在被保险人无责的情况下，保险人同意先行垫付赔款，并从被保险人处取得代位追偿权，向责任方进行追偿。</w:t>
      </w:r>
    </w:p>
    <w:p>
      <w:pPr>
        <w:adjustRightInd w:val="0"/>
        <w:spacing w:line="56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8.法律救援服务</w:t>
      </w:r>
      <w:r>
        <w:rPr>
          <w:rFonts w:hint="eastAsia" w:ascii="宋体" w:hAnsi="宋体" w:cs="宋体"/>
          <w:b/>
          <w:bCs/>
          <w:color w:val="auto"/>
          <w:sz w:val="24"/>
          <w:szCs w:val="24"/>
        </w:rPr>
        <w:t>（</w:t>
      </w:r>
      <w:r>
        <w:rPr>
          <w:rFonts w:hint="eastAsia" w:ascii="宋体" w:hAnsi="宋体" w:cs="宋体"/>
          <w:b/>
          <w:bCs/>
          <w:color w:val="auto"/>
          <w:kern w:val="0"/>
          <w:sz w:val="24"/>
          <w:szCs w:val="24"/>
        </w:rPr>
        <w:t>项号22</w:t>
      </w:r>
      <w:r>
        <w:rPr>
          <w:rFonts w:hint="eastAsia" w:ascii="宋体" w:hAnsi="宋体" w:cs="宋体"/>
          <w:b/>
          <w:bCs/>
          <w:color w:val="auto"/>
          <w:sz w:val="24"/>
          <w:szCs w:val="24"/>
        </w:rPr>
        <w:t>）</w:t>
      </w:r>
      <w:r>
        <w:rPr>
          <w:rFonts w:hint="eastAsia" w:ascii="宋体" w:hAnsi="宋体" w:cs="宋体"/>
          <w:color w:val="auto"/>
          <w:sz w:val="24"/>
          <w:szCs w:val="24"/>
        </w:rPr>
        <w:t xml:space="preserve"> </w:t>
      </w:r>
    </w:p>
    <w:p>
      <w:pPr>
        <w:adjustRightInd w:val="0"/>
        <w:spacing w:line="560" w:lineRule="exact"/>
        <w:ind w:firstLine="480" w:firstLineChars="200"/>
        <w:rPr>
          <w:rFonts w:ascii="宋体" w:hAnsi="宋体" w:cs="宋体"/>
          <w:color w:val="auto"/>
          <w:sz w:val="24"/>
          <w:szCs w:val="24"/>
        </w:rPr>
      </w:pPr>
      <w:r>
        <w:rPr>
          <w:rFonts w:hint="eastAsia" w:ascii="宋体" w:hAnsi="宋体" w:cs="宋体"/>
          <w:color w:val="auto"/>
          <w:kern w:val="0"/>
          <w:sz w:val="24"/>
          <w:szCs w:val="24"/>
        </w:rPr>
        <w:t>甲方被保险人投保车辆发生事故后，如产生与第三方的法律诉讼，乙方可应甲方的需求提供法律咨询服务，并可根据案情为甲方推荐具有专长的律师，甲方被保险人依法承担的法律费用，乙方负责赔偿。</w:t>
      </w:r>
    </w:p>
    <w:p>
      <w:pPr>
        <w:numPr>
          <w:ilvl w:val="0"/>
          <w:numId w:val="8"/>
        </w:numPr>
        <w:spacing w:line="360" w:lineRule="auto"/>
        <w:rPr>
          <w:rFonts w:ascii="宋体" w:hAnsi="宋体" w:cs="宋体"/>
          <w:b/>
          <w:color w:val="auto"/>
          <w:sz w:val="24"/>
          <w:szCs w:val="24"/>
        </w:rPr>
      </w:pPr>
      <w:r>
        <w:rPr>
          <w:rFonts w:hint="eastAsia" w:ascii="宋体" w:hAnsi="宋体" w:cs="宋体"/>
          <w:b/>
          <w:color w:val="auto"/>
          <w:sz w:val="24"/>
          <w:szCs w:val="24"/>
        </w:rPr>
        <w:t>预付赔款</w:t>
      </w:r>
      <w:r>
        <w:rPr>
          <w:rFonts w:hint="eastAsia" w:ascii="宋体" w:hAnsi="宋体" w:cs="宋体"/>
          <w:b/>
          <w:bCs/>
          <w:color w:val="auto"/>
          <w:sz w:val="24"/>
          <w:szCs w:val="24"/>
        </w:rPr>
        <w:t>（</w:t>
      </w:r>
      <w:r>
        <w:rPr>
          <w:rFonts w:hint="eastAsia" w:ascii="宋体" w:hAnsi="宋体" w:cs="宋体"/>
          <w:b/>
          <w:bCs/>
          <w:color w:val="auto"/>
          <w:kern w:val="0"/>
          <w:sz w:val="24"/>
          <w:szCs w:val="24"/>
        </w:rPr>
        <w:t>项号23</w:t>
      </w:r>
      <w:r>
        <w:rPr>
          <w:rFonts w:hint="eastAsia" w:ascii="宋体" w:hAnsi="宋体" w:cs="宋体"/>
          <w:b/>
          <w:bCs/>
          <w:color w:val="auto"/>
          <w:sz w:val="24"/>
          <w:szCs w:val="24"/>
        </w:rPr>
        <w:t>）</w:t>
      </w:r>
      <w:r>
        <w:rPr>
          <w:rFonts w:hint="eastAsia" w:ascii="宋体" w:hAnsi="宋体" w:cs="宋体"/>
          <w:color w:val="auto"/>
          <w:sz w:val="24"/>
          <w:szCs w:val="24"/>
        </w:rPr>
        <w:t xml:space="preserve">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被保险人在保险期限内合法使用保险车辆的过程中，发生保险事故，造成车上人员或第三者人身伤害，需紧急抢救，应被保险人的要求，乙方应在交强险责任限额范围内支付抢救费用。超出交强险限额外的损失，在赔偿金额尚不能确定的情况下，由被保险人提出申请，乙方应当根据已有证明和资料可以确定的金额予以预付赔款，以利于伤者救治。乙方最终确定赔偿金额后，应当支付相应的差额。乙方同意自被保险人提出申请之日起在3个工作日内，将上述预付赔款支付给被保险人。在同一案件处理过程中，乙方同意根据事故处理需要多次支付预付赔款。</w:t>
      </w:r>
    </w:p>
    <w:p>
      <w:pPr>
        <w:pStyle w:val="9"/>
        <w:spacing w:line="360" w:lineRule="auto"/>
        <w:ind w:firstLine="0"/>
        <w:rPr>
          <w:rFonts w:ascii="宋体" w:hAnsi="宋体" w:cs="宋体"/>
          <w:b/>
          <w:color w:val="auto"/>
          <w:sz w:val="24"/>
          <w:szCs w:val="24"/>
        </w:rPr>
      </w:pPr>
      <w:r>
        <w:rPr>
          <w:rFonts w:hint="eastAsia" w:ascii="宋体" w:hAnsi="宋体" w:cs="宋体"/>
          <w:b/>
          <w:color w:val="auto"/>
          <w:sz w:val="24"/>
          <w:szCs w:val="24"/>
        </w:rPr>
        <w:t>七、定期提供理赔统计报表</w:t>
      </w:r>
      <w:r>
        <w:rPr>
          <w:rFonts w:hint="eastAsia" w:ascii="宋体" w:hAnsi="宋体" w:cs="宋体"/>
          <w:b/>
          <w:bCs/>
          <w:color w:val="auto"/>
          <w:sz w:val="24"/>
          <w:szCs w:val="24"/>
        </w:rPr>
        <w:t>（</w:t>
      </w:r>
      <w:r>
        <w:rPr>
          <w:rFonts w:hint="eastAsia" w:ascii="宋体" w:hAnsi="宋体" w:cs="宋体"/>
          <w:b/>
          <w:bCs/>
          <w:color w:val="auto"/>
          <w:kern w:val="0"/>
          <w:sz w:val="24"/>
          <w:szCs w:val="24"/>
        </w:rPr>
        <w:t>项号24</w:t>
      </w:r>
      <w:r>
        <w:rPr>
          <w:rFonts w:hint="eastAsia" w:ascii="宋体" w:hAnsi="宋体" w:cs="宋体"/>
          <w:b/>
          <w:bCs/>
          <w:color w:val="auto"/>
          <w:sz w:val="24"/>
          <w:szCs w:val="24"/>
        </w:rPr>
        <w:t>）</w:t>
      </w:r>
      <w:r>
        <w:rPr>
          <w:rFonts w:hint="eastAsia" w:ascii="宋体" w:hAnsi="宋体" w:cs="宋体"/>
          <w:color w:val="auto"/>
          <w:sz w:val="24"/>
          <w:szCs w:val="24"/>
        </w:rPr>
        <w:t xml:space="preserve"> </w:t>
      </w:r>
    </w:p>
    <w:p>
      <w:pPr>
        <w:pStyle w:val="9"/>
        <w:spacing w:line="360" w:lineRule="auto"/>
        <w:ind w:firstLine="480" w:firstLineChars="200"/>
        <w:rPr>
          <w:rFonts w:ascii="宋体" w:hAnsi="宋体" w:cs="宋体"/>
          <w:b/>
          <w:color w:val="auto"/>
          <w:sz w:val="24"/>
          <w:szCs w:val="24"/>
        </w:rPr>
      </w:pPr>
      <w:r>
        <w:rPr>
          <w:rFonts w:hint="eastAsia" w:ascii="宋体" w:hAnsi="宋体" w:cs="宋体"/>
          <w:color w:val="auto"/>
          <w:sz w:val="24"/>
          <w:szCs w:val="24"/>
        </w:rPr>
        <w:t>保险公司负责每季度或应被保险人要求随时向被保险人提供分险种理赔统计报表，报表应包括损失发生的时间、地点、损失原因、估损金额、定损金额、赔款等与赔案处理有关的信息（具体格式由被保险人提供）。</w:t>
      </w:r>
    </w:p>
    <w:p>
      <w:pPr>
        <w:spacing w:line="360" w:lineRule="auto"/>
        <w:rPr>
          <w:rFonts w:ascii="宋体" w:hAnsi="宋体" w:cs="宋体"/>
          <w:b/>
          <w:color w:val="auto"/>
          <w:sz w:val="24"/>
          <w:szCs w:val="24"/>
        </w:rPr>
      </w:pPr>
      <w:r>
        <w:rPr>
          <w:rFonts w:hint="eastAsia" w:ascii="宋体" w:hAnsi="宋体" w:cs="宋体"/>
          <w:b/>
          <w:color w:val="auto"/>
          <w:sz w:val="24"/>
          <w:szCs w:val="24"/>
        </w:rPr>
        <w:t>八、其他服务承诺</w:t>
      </w:r>
    </w:p>
    <w:p>
      <w:pPr>
        <w:spacing w:line="360" w:lineRule="auto"/>
        <w:rPr>
          <w:rFonts w:ascii="宋体" w:hAnsi="宋体" w:cs="宋体"/>
          <w:bCs/>
          <w:color w:val="auto"/>
          <w:sz w:val="24"/>
          <w:szCs w:val="24"/>
        </w:rPr>
      </w:pPr>
      <w:r>
        <w:rPr>
          <w:rFonts w:hint="eastAsia" w:ascii="宋体" w:hAnsi="宋体" w:cs="宋体"/>
          <w:bCs/>
          <w:color w:val="auto"/>
          <w:sz w:val="24"/>
          <w:szCs w:val="24"/>
        </w:rPr>
        <w:t>1.索赔材料递交</w:t>
      </w:r>
      <w:r>
        <w:rPr>
          <w:rFonts w:hint="eastAsia" w:ascii="宋体" w:hAnsi="宋体" w:cs="宋体"/>
          <w:color w:val="auto"/>
          <w:sz w:val="24"/>
          <w:szCs w:val="24"/>
        </w:rPr>
        <w:t xml:space="preserve"> </w:t>
      </w:r>
    </w:p>
    <w:p>
      <w:p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对于非道路交通事故，被保险人可不必向出单公司提供交通管理部门或相关部门的事故证明，但被保险人有义务配合保险公司进行事故调查。</w:t>
      </w:r>
    </w:p>
    <w:p>
      <w:pPr>
        <w:spacing w:line="560" w:lineRule="exact"/>
        <w:rPr>
          <w:rFonts w:ascii="宋体" w:hAnsi="宋体" w:cs="宋体"/>
          <w:color w:val="auto"/>
          <w:sz w:val="24"/>
          <w:szCs w:val="24"/>
        </w:rPr>
      </w:pPr>
      <w:r>
        <w:rPr>
          <w:rFonts w:hint="eastAsia" w:ascii="宋体" w:hAnsi="宋体" w:cs="宋体"/>
          <w:color w:val="auto"/>
          <w:sz w:val="24"/>
          <w:szCs w:val="24"/>
        </w:rPr>
        <w:t>2.索赔材料审核时限</w:t>
      </w:r>
      <w:r>
        <w:rPr>
          <w:rFonts w:hint="eastAsia" w:ascii="宋体" w:hAnsi="宋体" w:cs="宋体"/>
          <w:b/>
          <w:bCs/>
          <w:color w:val="auto"/>
          <w:sz w:val="24"/>
          <w:szCs w:val="24"/>
        </w:rPr>
        <w:t>（</w:t>
      </w:r>
      <w:r>
        <w:rPr>
          <w:rFonts w:hint="eastAsia" w:ascii="宋体" w:hAnsi="宋体" w:cs="宋体"/>
          <w:b/>
          <w:bCs/>
          <w:color w:val="auto"/>
          <w:kern w:val="0"/>
          <w:sz w:val="24"/>
          <w:szCs w:val="24"/>
        </w:rPr>
        <w:t>项号25</w:t>
      </w:r>
      <w:r>
        <w:rPr>
          <w:rFonts w:hint="eastAsia" w:ascii="宋体" w:hAnsi="宋体" w:cs="宋体"/>
          <w:b/>
          <w:bCs/>
          <w:color w:val="auto"/>
          <w:sz w:val="24"/>
          <w:szCs w:val="24"/>
        </w:rPr>
        <w:t>）</w:t>
      </w:r>
      <w:r>
        <w:rPr>
          <w:rFonts w:hint="eastAsia" w:ascii="宋体" w:hAnsi="宋体" w:cs="宋体"/>
          <w:color w:val="auto"/>
          <w:sz w:val="24"/>
          <w:szCs w:val="24"/>
        </w:rPr>
        <w:t xml:space="preserve"> </w:t>
      </w:r>
    </w:p>
    <w:p>
      <w:p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出单公司收到甲方被保险人提交的索赔资料后应及时审核，如认为有关证明或材料不完整，应及时以书面形式一次性告知应补充提供的有关证明或材料。若出单公司在接到索赔资料后2个工作日内（特殊情况下不超过5个工作日）未给予有关审核意见，则视为出单公司认可索赔资料完整。</w:t>
      </w:r>
    </w:p>
    <w:p>
      <w:pPr>
        <w:spacing w:line="560" w:lineRule="exact"/>
        <w:rPr>
          <w:rFonts w:ascii="宋体" w:hAnsi="宋体" w:cs="宋体"/>
          <w:color w:val="auto"/>
          <w:sz w:val="24"/>
          <w:szCs w:val="24"/>
        </w:rPr>
      </w:pPr>
      <w:r>
        <w:rPr>
          <w:rFonts w:hint="eastAsia" w:ascii="宋体" w:hAnsi="宋体" w:cs="宋体"/>
          <w:color w:val="auto"/>
          <w:sz w:val="24"/>
          <w:szCs w:val="24"/>
        </w:rPr>
        <w:t>3.定损核赔时限</w:t>
      </w:r>
      <w:r>
        <w:rPr>
          <w:rFonts w:hint="eastAsia" w:ascii="宋体" w:hAnsi="宋体" w:cs="宋体"/>
          <w:b/>
          <w:bCs/>
          <w:color w:val="auto"/>
          <w:sz w:val="24"/>
          <w:szCs w:val="24"/>
        </w:rPr>
        <w:t>（</w:t>
      </w:r>
      <w:r>
        <w:rPr>
          <w:rFonts w:hint="eastAsia" w:ascii="宋体" w:hAnsi="宋体" w:cs="宋体"/>
          <w:b/>
          <w:bCs/>
          <w:color w:val="auto"/>
          <w:kern w:val="0"/>
          <w:sz w:val="24"/>
          <w:szCs w:val="24"/>
        </w:rPr>
        <w:t>项号26</w:t>
      </w:r>
      <w:r>
        <w:rPr>
          <w:rFonts w:hint="eastAsia" w:ascii="宋体" w:hAnsi="宋体" w:cs="宋体"/>
          <w:b/>
          <w:bCs/>
          <w:color w:val="auto"/>
          <w:sz w:val="24"/>
          <w:szCs w:val="24"/>
        </w:rPr>
        <w:t>）</w:t>
      </w:r>
      <w:r>
        <w:rPr>
          <w:rFonts w:hint="eastAsia" w:ascii="宋体" w:hAnsi="宋体" w:cs="宋体"/>
          <w:color w:val="auto"/>
          <w:sz w:val="24"/>
          <w:szCs w:val="24"/>
        </w:rPr>
        <w:t xml:space="preserve"> </w:t>
      </w:r>
    </w:p>
    <w:p>
      <w:pPr>
        <w:autoSpaceDE w:val="0"/>
        <w:autoSpaceDN w:val="0"/>
        <w:adjustRightInd w:val="0"/>
        <w:spacing w:line="560" w:lineRule="exact"/>
        <w:ind w:firstLine="560"/>
        <w:rPr>
          <w:rFonts w:ascii="宋体" w:hAnsi="宋体" w:cs="宋体"/>
          <w:color w:val="auto"/>
          <w:sz w:val="24"/>
          <w:szCs w:val="24"/>
        </w:rPr>
      </w:pPr>
      <w:r>
        <w:rPr>
          <w:rFonts w:hint="eastAsia" w:ascii="宋体" w:hAnsi="宋体" w:cs="宋体"/>
          <w:color w:val="auto"/>
          <w:sz w:val="24"/>
          <w:szCs w:val="24"/>
        </w:rPr>
        <w:t>估损金额在人民币5000元（含）以下的，在收到完整索赔资料后1个工作日完成；</w:t>
      </w:r>
    </w:p>
    <w:p>
      <w:pPr>
        <w:autoSpaceDE w:val="0"/>
        <w:autoSpaceDN w:val="0"/>
        <w:adjustRightInd w:val="0"/>
        <w:spacing w:line="560" w:lineRule="exact"/>
        <w:ind w:firstLine="560"/>
        <w:rPr>
          <w:rFonts w:ascii="宋体" w:hAnsi="宋体" w:cs="宋体"/>
          <w:color w:val="auto"/>
          <w:sz w:val="24"/>
          <w:szCs w:val="24"/>
        </w:rPr>
      </w:pPr>
      <w:r>
        <w:rPr>
          <w:rFonts w:hint="eastAsia" w:ascii="宋体" w:hAnsi="宋体" w:cs="宋体"/>
          <w:color w:val="auto"/>
          <w:sz w:val="24"/>
          <w:szCs w:val="24"/>
        </w:rPr>
        <w:t>估损金额在人民币5000元-50000元（含）的，在收到完整索赔资料后3个工作日完成。</w:t>
      </w:r>
    </w:p>
    <w:p>
      <w:pPr>
        <w:autoSpaceDE w:val="0"/>
        <w:autoSpaceDN w:val="0"/>
        <w:adjustRightInd w:val="0"/>
        <w:spacing w:line="560" w:lineRule="exact"/>
        <w:ind w:firstLine="560"/>
        <w:rPr>
          <w:rFonts w:ascii="宋体" w:hAnsi="宋体" w:cs="宋体"/>
          <w:color w:val="auto"/>
          <w:sz w:val="24"/>
          <w:szCs w:val="24"/>
        </w:rPr>
      </w:pPr>
      <w:r>
        <w:rPr>
          <w:rFonts w:hint="eastAsia" w:ascii="宋体" w:hAnsi="宋体" w:cs="宋体"/>
          <w:color w:val="auto"/>
          <w:sz w:val="24"/>
          <w:szCs w:val="24"/>
        </w:rPr>
        <w:t>估损金额在人民币50000元以上的，在收到完整索赔资料后5个工作日完成。</w:t>
      </w:r>
    </w:p>
    <w:p>
      <w:pPr>
        <w:spacing w:line="360" w:lineRule="auto"/>
        <w:rPr>
          <w:rFonts w:ascii="宋体" w:hAnsi="宋体" w:cs="宋体"/>
          <w:bCs/>
          <w:color w:val="auto"/>
          <w:sz w:val="24"/>
          <w:szCs w:val="24"/>
        </w:rPr>
      </w:pPr>
      <w:r>
        <w:rPr>
          <w:rFonts w:hint="eastAsia" w:ascii="宋体" w:hAnsi="宋体" w:cs="宋体"/>
          <w:bCs/>
          <w:color w:val="auto"/>
          <w:sz w:val="24"/>
          <w:szCs w:val="24"/>
        </w:rPr>
        <w:t>4.赔款时限</w:t>
      </w:r>
      <w:r>
        <w:rPr>
          <w:rFonts w:hint="eastAsia" w:ascii="宋体" w:hAnsi="宋体" w:cs="宋体"/>
          <w:b/>
          <w:bCs/>
          <w:color w:val="auto"/>
          <w:sz w:val="24"/>
          <w:szCs w:val="24"/>
        </w:rPr>
        <w:t>（</w:t>
      </w:r>
      <w:r>
        <w:rPr>
          <w:rFonts w:hint="eastAsia" w:ascii="宋体" w:hAnsi="宋体" w:cs="宋体"/>
          <w:b/>
          <w:bCs/>
          <w:color w:val="auto"/>
          <w:kern w:val="0"/>
          <w:sz w:val="24"/>
          <w:szCs w:val="24"/>
        </w:rPr>
        <w:t>项号27</w:t>
      </w:r>
      <w:r>
        <w:rPr>
          <w:rFonts w:hint="eastAsia" w:ascii="宋体" w:hAnsi="宋体" w:cs="宋体"/>
          <w:b/>
          <w:bCs/>
          <w:color w:val="auto"/>
          <w:sz w:val="24"/>
          <w:szCs w:val="24"/>
        </w:rPr>
        <w:t>）</w:t>
      </w:r>
      <w:r>
        <w:rPr>
          <w:rFonts w:hint="eastAsia" w:ascii="宋体" w:hAnsi="宋体" w:cs="宋体"/>
          <w:color w:val="auto"/>
          <w:sz w:val="24"/>
          <w:szCs w:val="24"/>
        </w:rPr>
        <w:t xml:space="preserve">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在被保险人提供完整必要的索赔材料后，出单公司承诺按下列约定时限向被保险人支付赔款：</w:t>
      </w:r>
    </w:p>
    <w:tbl>
      <w:tblPr>
        <w:tblStyle w:val="37"/>
        <w:tblW w:w="0" w:type="auto"/>
        <w:tblInd w:w="46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80"/>
        <w:gridCol w:w="31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46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赔 款 金 额</w:t>
            </w:r>
          </w:p>
        </w:tc>
        <w:tc>
          <w:tcPr>
            <w:tcW w:w="31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结 案 时 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rPr>
            </w:pPr>
            <w:r>
              <w:rPr>
                <w:rFonts w:hint="eastAsia" w:ascii="宋体" w:hAnsi="宋体" w:cs="宋体"/>
                <w:color w:val="auto"/>
                <w:sz w:val="24"/>
                <w:szCs w:val="24"/>
              </w:rPr>
              <w:t>￥5000元（含）以下</w:t>
            </w:r>
          </w:p>
        </w:tc>
        <w:tc>
          <w:tcPr>
            <w:tcW w:w="31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 w:val="24"/>
                <w:szCs w:val="24"/>
              </w:rPr>
            </w:pPr>
            <w:r>
              <w:rPr>
                <w:rFonts w:hint="eastAsia" w:ascii="宋体" w:hAnsi="宋体" w:cs="宋体"/>
                <w:color w:val="auto"/>
                <w:sz w:val="24"/>
                <w:szCs w:val="24"/>
              </w:rPr>
              <w:t>1个工作日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rPr>
            </w:pPr>
            <w:r>
              <w:rPr>
                <w:rFonts w:hint="eastAsia" w:ascii="宋体" w:hAnsi="宋体" w:cs="宋体"/>
                <w:color w:val="auto"/>
                <w:sz w:val="24"/>
                <w:szCs w:val="24"/>
              </w:rPr>
              <w:t>￥5000元 ～ ￥30000元（含）</w:t>
            </w:r>
          </w:p>
        </w:tc>
        <w:tc>
          <w:tcPr>
            <w:tcW w:w="31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 w:val="24"/>
                <w:szCs w:val="24"/>
              </w:rPr>
            </w:pPr>
            <w:r>
              <w:rPr>
                <w:rFonts w:hint="eastAsia" w:ascii="宋体" w:hAnsi="宋体" w:cs="宋体"/>
                <w:color w:val="auto"/>
                <w:sz w:val="24"/>
                <w:szCs w:val="24"/>
              </w:rPr>
              <w:t>3个工作日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rPr>
            </w:pPr>
            <w:r>
              <w:rPr>
                <w:rFonts w:hint="eastAsia" w:ascii="宋体" w:hAnsi="宋体" w:cs="宋体"/>
                <w:color w:val="auto"/>
                <w:sz w:val="24"/>
                <w:szCs w:val="24"/>
              </w:rPr>
              <w:t>￥30000元～￥100000元（含）</w:t>
            </w:r>
          </w:p>
        </w:tc>
        <w:tc>
          <w:tcPr>
            <w:tcW w:w="31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 w:val="24"/>
                <w:szCs w:val="24"/>
              </w:rPr>
            </w:pPr>
            <w:r>
              <w:rPr>
                <w:rFonts w:hint="eastAsia" w:ascii="宋体" w:hAnsi="宋体" w:cs="宋体"/>
                <w:color w:val="auto"/>
                <w:sz w:val="24"/>
                <w:szCs w:val="24"/>
              </w:rPr>
              <w:t>5个工作日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rPr>
            </w:pPr>
            <w:r>
              <w:rPr>
                <w:rFonts w:hint="eastAsia" w:ascii="宋体" w:hAnsi="宋体" w:cs="宋体"/>
                <w:color w:val="auto"/>
                <w:sz w:val="24"/>
                <w:szCs w:val="24"/>
              </w:rPr>
              <w:t>￥100000元以上</w:t>
            </w:r>
          </w:p>
        </w:tc>
        <w:tc>
          <w:tcPr>
            <w:tcW w:w="31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 w:val="24"/>
                <w:szCs w:val="24"/>
              </w:rPr>
            </w:pPr>
            <w:r>
              <w:rPr>
                <w:rFonts w:hint="eastAsia" w:ascii="宋体" w:hAnsi="宋体" w:cs="宋体"/>
                <w:color w:val="auto"/>
                <w:sz w:val="24"/>
                <w:szCs w:val="24"/>
              </w:rPr>
              <w:t>7个工作日</w:t>
            </w:r>
          </w:p>
        </w:tc>
      </w:tr>
    </w:tbl>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r>
        <w:rPr>
          <w:rFonts w:hint="eastAsia" w:ascii="宋体" w:hAnsi="宋体"/>
          <w:bCs/>
          <w:color w:val="auto"/>
          <w:sz w:val="24"/>
          <w:szCs w:val="24"/>
        </w:rPr>
        <w:t>5.服务网点要求(合同包1):投标人在宁德市辖区5个县市（包含：福安、福鼎、</w:t>
      </w:r>
      <w:r>
        <w:rPr>
          <w:rFonts w:hint="eastAsia" w:ascii="宋体" w:hAnsi="宋体"/>
          <w:color w:val="auto"/>
          <w:sz w:val="24"/>
          <w:szCs w:val="24"/>
        </w:rPr>
        <w:t>周宁、寿宁、柘荣）设立5个正式网点</w:t>
      </w:r>
      <w:r>
        <w:rPr>
          <w:rFonts w:hint="eastAsia" w:ascii="宋体" w:hAnsi="宋体" w:cs="宋体"/>
          <w:color w:val="auto"/>
          <w:sz w:val="24"/>
          <w:szCs w:val="24"/>
        </w:rPr>
        <w:t>，须提供机构营业执照复印件并加盖投标人公章。</w:t>
      </w:r>
      <w:r>
        <w:rPr>
          <w:rFonts w:hint="eastAsia" w:ascii="宋体" w:hAnsi="宋体" w:cs="宋体"/>
          <w:b/>
          <w:bCs/>
          <w:color w:val="auto"/>
          <w:sz w:val="24"/>
          <w:szCs w:val="24"/>
        </w:rPr>
        <w:t>（</w:t>
      </w:r>
      <w:r>
        <w:rPr>
          <w:rFonts w:hint="eastAsia" w:ascii="宋体" w:hAnsi="宋体" w:cs="宋体"/>
          <w:b/>
          <w:bCs/>
          <w:color w:val="auto"/>
          <w:kern w:val="0"/>
          <w:sz w:val="24"/>
          <w:szCs w:val="24"/>
        </w:rPr>
        <w:t>项号28</w:t>
      </w:r>
      <w:r>
        <w:rPr>
          <w:rFonts w:hint="eastAsia" w:ascii="宋体" w:hAnsi="宋体" w:cs="宋体"/>
          <w:b/>
          <w:bCs/>
          <w:color w:val="auto"/>
          <w:sz w:val="24"/>
          <w:szCs w:val="24"/>
        </w:rPr>
        <w:t>）</w:t>
      </w:r>
      <w:r>
        <w:rPr>
          <w:rFonts w:hint="eastAsia" w:ascii="宋体" w:hAnsi="宋体" w:cs="宋体"/>
          <w:color w:val="auto"/>
          <w:sz w:val="24"/>
          <w:szCs w:val="24"/>
        </w:rPr>
        <w:t xml:space="preserve"> </w:t>
      </w:r>
    </w:p>
    <w:p>
      <w:pPr>
        <w:pStyle w:val="2"/>
        <w:spacing w:line="360" w:lineRule="auto"/>
        <w:rPr>
          <w:rFonts w:ascii="宋体" w:hAnsi="宋体" w:cs="宋体" w:eastAsiaTheme="minorEastAsia"/>
          <w:color w:val="auto"/>
          <w:sz w:val="24"/>
          <w:szCs w:val="24"/>
        </w:rPr>
      </w:pPr>
      <w:r>
        <w:rPr>
          <w:rFonts w:hint="eastAsia" w:ascii="宋体" w:hAnsi="宋体"/>
          <w:bCs/>
          <w:color w:val="auto"/>
          <w:sz w:val="24"/>
          <w:szCs w:val="24"/>
        </w:rPr>
        <w:t>服务网点要</w:t>
      </w:r>
      <w:r>
        <w:rPr>
          <w:rFonts w:hint="eastAsia" w:ascii="宋体" w:hAnsi="宋体"/>
          <w:color w:val="auto"/>
          <w:sz w:val="24"/>
          <w:szCs w:val="24"/>
        </w:rPr>
        <w:t>求（合同包2）:</w:t>
      </w:r>
      <w:r>
        <w:rPr>
          <w:rFonts w:hint="eastAsia" w:ascii="宋体" w:hAnsi="宋体" w:cs="宋体"/>
          <w:color w:val="auto"/>
          <w:sz w:val="24"/>
          <w:szCs w:val="24"/>
        </w:rPr>
        <w:t>投标人在</w:t>
      </w:r>
      <w:r>
        <w:rPr>
          <w:rFonts w:hint="eastAsia" w:ascii="宋体" w:hAnsi="宋体"/>
          <w:color w:val="auto"/>
          <w:sz w:val="24"/>
          <w:szCs w:val="24"/>
        </w:rPr>
        <w:t>宁德市辖区4个县市（包含：蕉城、屏南、古田、霞浦）设立4个正式网点，</w:t>
      </w:r>
      <w:r>
        <w:rPr>
          <w:rFonts w:hint="eastAsia" w:ascii="宋体" w:hAnsi="宋体" w:cs="宋体"/>
          <w:color w:val="auto"/>
          <w:sz w:val="24"/>
          <w:szCs w:val="24"/>
        </w:rPr>
        <w:t>须提供机构营业执照复印件并加盖投标人公章。</w:t>
      </w:r>
      <w:r>
        <w:rPr>
          <w:rFonts w:hint="eastAsia" w:ascii="宋体" w:hAnsi="宋体" w:cs="宋体"/>
          <w:b/>
          <w:bCs/>
          <w:color w:val="auto"/>
          <w:sz w:val="24"/>
          <w:szCs w:val="24"/>
        </w:rPr>
        <w:t>（</w:t>
      </w:r>
      <w:r>
        <w:rPr>
          <w:rFonts w:hint="eastAsia" w:ascii="宋体" w:hAnsi="宋体" w:cs="宋体"/>
          <w:b/>
          <w:bCs/>
          <w:color w:val="auto"/>
          <w:kern w:val="0"/>
          <w:sz w:val="24"/>
          <w:szCs w:val="24"/>
        </w:rPr>
        <w:t>项号28</w:t>
      </w:r>
      <w:r>
        <w:rPr>
          <w:rFonts w:hint="eastAsia" w:ascii="宋体" w:hAnsi="宋体" w:cs="宋体"/>
          <w:b/>
          <w:bCs/>
          <w:color w:val="auto"/>
          <w:sz w:val="24"/>
          <w:szCs w:val="24"/>
        </w:rPr>
        <w:t>）</w:t>
      </w:r>
      <w:r>
        <w:rPr>
          <w:rFonts w:hint="eastAsia" w:ascii="宋体" w:hAnsi="宋体" w:cs="宋体"/>
          <w:color w:val="auto"/>
          <w:sz w:val="24"/>
          <w:szCs w:val="24"/>
        </w:rPr>
        <w:t xml:space="preserve"> </w:t>
      </w:r>
    </w:p>
    <w:p>
      <w:pPr>
        <w:pStyle w:val="2"/>
        <w:spacing w:line="360" w:lineRule="auto"/>
        <w:ind w:firstLine="480" w:firstLineChars="200"/>
        <w:rPr>
          <w:rFonts w:ascii="宋体" w:hAnsi="宋体" w:cs="宋体"/>
          <w:color w:val="auto"/>
          <w:kern w:val="0"/>
          <w:sz w:val="24"/>
          <w:szCs w:val="24"/>
        </w:rPr>
      </w:pPr>
    </w:p>
    <w:p>
      <w:pPr>
        <w:spacing w:line="360" w:lineRule="auto"/>
        <w:jc w:val="center"/>
        <w:rPr>
          <w:rFonts w:ascii="宋体" w:hAnsi="宋体"/>
          <w:b/>
          <w:color w:val="auto"/>
          <w:sz w:val="36"/>
        </w:rPr>
      </w:pPr>
    </w:p>
    <w:p>
      <w:pPr>
        <w:spacing w:line="360" w:lineRule="auto"/>
        <w:jc w:val="center"/>
        <w:rPr>
          <w:rFonts w:ascii="宋体" w:hAnsi="宋体"/>
          <w:b/>
          <w:color w:val="auto"/>
          <w:sz w:val="36"/>
        </w:rPr>
      </w:pPr>
    </w:p>
    <w:p>
      <w:pPr>
        <w:spacing w:line="360" w:lineRule="auto"/>
        <w:jc w:val="center"/>
        <w:rPr>
          <w:rFonts w:ascii="宋体" w:hAnsi="宋体"/>
          <w:b/>
          <w:color w:val="auto"/>
          <w:sz w:val="36"/>
        </w:rPr>
      </w:pPr>
    </w:p>
    <w:p>
      <w:pPr>
        <w:spacing w:line="360" w:lineRule="auto"/>
        <w:jc w:val="center"/>
        <w:rPr>
          <w:rFonts w:ascii="宋体" w:hAnsi="宋体"/>
          <w:b/>
          <w:color w:val="auto"/>
          <w:sz w:val="36"/>
        </w:rPr>
      </w:pPr>
    </w:p>
    <w:p>
      <w:pPr>
        <w:spacing w:line="360" w:lineRule="auto"/>
        <w:jc w:val="center"/>
        <w:rPr>
          <w:rFonts w:ascii="宋体" w:hAnsi="宋体"/>
          <w:b/>
          <w:color w:val="auto"/>
          <w:sz w:val="36"/>
        </w:rPr>
      </w:pPr>
    </w:p>
    <w:p>
      <w:pPr>
        <w:pStyle w:val="2"/>
        <w:rPr>
          <w:rFonts w:ascii="宋体" w:hAnsi="宋体"/>
          <w:b/>
          <w:color w:val="auto"/>
          <w:sz w:val="36"/>
        </w:rPr>
      </w:pPr>
    </w:p>
    <w:p>
      <w:pPr>
        <w:pStyle w:val="2"/>
        <w:rPr>
          <w:rFonts w:ascii="宋体" w:hAnsi="宋体"/>
          <w:b/>
          <w:color w:val="auto"/>
          <w:sz w:val="36"/>
        </w:rPr>
      </w:pPr>
    </w:p>
    <w:p>
      <w:pPr>
        <w:pStyle w:val="2"/>
        <w:rPr>
          <w:rFonts w:ascii="宋体" w:hAnsi="宋体"/>
          <w:b/>
          <w:color w:val="auto"/>
          <w:sz w:val="36"/>
        </w:rPr>
      </w:pPr>
    </w:p>
    <w:p>
      <w:pPr>
        <w:pStyle w:val="2"/>
        <w:rPr>
          <w:rFonts w:ascii="宋体" w:hAnsi="宋体"/>
          <w:b/>
          <w:color w:val="auto"/>
          <w:sz w:val="36"/>
        </w:rPr>
      </w:pPr>
    </w:p>
    <w:p>
      <w:pPr>
        <w:spacing w:line="360" w:lineRule="auto"/>
        <w:jc w:val="center"/>
        <w:rPr>
          <w:rFonts w:ascii="宋体" w:hAnsi="宋体"/>
          <w:b/>
          <w:color w:val="auto"/>
          <w:sz w:val="36"/>
        </w:rPr>
      </w:pPr>
    </w:p>
    <w:p>
      <w:pPr>
        <w:spacing w:line="360" w:lineRule="auto"/>
        <w:jc w:val="center"/>
        <w:rPr>
          <w:rFonts w:ascii="宋体" w:hAnsi="宋体"/>
          <w:b/>
          <w:color w:val="auto"/>
          <w:sz w:val="36"/>
        </w:rPr>
      </w:pPr>
    </w:p>
    <w:p>
      <w:pPr>
        <w:spacing w:line="360" w:lineRule="auto"/>
        <w:jc w:val="center"/>
        <w:rPr>
          <w:rFonts w:ascii="宋体" w:hAnsi="宋体"/>
          <w:b/>
          <w:color w:val="auto"/>
          <w:sz w:val="36"/>
        </w:rPr>
      </w:pPr>
    </w:p>
    <w:p>
      <w:pPr>
        <w:spacing w:line="360" w:lineRule="auto"/>
        <w:jc w:val="center"/>
        <w:rPr>
          <w:rFonts w:ascii="宋体" w:hAnsi="宋体"/>
          <w:b/>
          <w:color w:val="auto"/>
          <w:sz w:val="36"/>
        </w:rPr>
      </w:pPr>
    </w:p>
    <w:p>
      <w:pPr>
        <w:spacing w:line="360" w:lineRule="auto"/>
        <w:jc w:val="center"/>
        <w:rPr>
          <w:rFonts w:ascii="宋体" w:hAnsi="宋体"/>
          <w:b/>
          <w:color w:val="auto"/>
          <w:sz w:val="36"/>
        </w:rPr>
      </w:pPr>
    </w:p>
    <w:p>
      <w:pPr>
        <w:pStyle w:val="2"/>
        <w:rPr>
          <w:rFonts w:ascii="宋体" w:hAnsi="宋体"/>
          <w:b/>
          <w:color w:val="auto"/>
          <w:sz w:val="36"/>
        </w:rPr>
      </w:pPr>
    </w:p>
    <w:p>
      <w:pPr>
        <w:pStyle w:val="2"/>
        <w:rPr>
          <w:rFonts w:ascii="宋体" w:hAnsi="宋体"/>
          <w:b/>
          <w:color w:val="auto"/>
          <w:sz w:val="36"/>
        </w:rPr>
      </w:pPr>
    </w:p>
    <w:p>
      <w:pPr>
        <w:spacing w:line="360" w:lineRule="auto"/>
        <w:jc w:val="center"/>
        <w:rPr>
          <w:rFonts w:ascii="宋体" w:hAnsi="宋体"/>
          <w:b/>
          <w:color w:val="auto"/>
          <w:sz w:val="36"/>
        </w:rPr>
      </w:pPr>
      <w:r>
        <w:rPr>
          <w:rFonts w:hint="eastAsia" w:ascii="宋体" w:hAnsi="宋体"/>
          <w:b/>
          <w:color w:val="auto"/>
          <w:sz w:val="36"/>
        </w:rPr>
        <w:t>第四章  参考合同</w:t>
      </w:r>
    </w:p>
    <w:p>
      <w:pPr>
        <w:tabs>
          <w:tab w:val="left" w:pos="3075"/>
        </w:tabs>
        <w:spacing w:line="360" w:lineRule="auto"/>
        <w:rPr>
          <w:rFonts w:ascii="宋体" w:hAnsi="宋体" w:cs="宋体"/>
          <w:b/>
          <w:color w:val="auto"/>
          <w:sz w:val="24"/>
          <w:szCs w:val="24"/>
        </w:rPr>
      </w:pPr>
    </w:p>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协议格式（样本）</w:t>
      </w:r>
    </w:p>
    <w:p>
      <w:pPr>
        <w:spacing w:line="360" w:lineRule="auto"/>
        <w:jc w:val="center"/>
        <w:rPr>
          <w:rFonts w:ascii="宋体" w:hAnsi="宋体" w:cs="宋体"/>
          <w:b/>
          <w:bCs/>
          <w:color w:val="auto"/>
          <w:sz w:val="24"/>
          <w:szCs w:val="24"/>
        </w:rPr>
      </w:pPr>
    </w:p>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《福建省宁德市汽车运输集团有限公司保险协议》</w:t>
      </w:r>
    </w:p>
    <w:p>
      <w:pPr>
        <w:spacing w:line="360" w:lineRule="auto"/>
        <w:rPr>
          <w:rFonts w:ascii="宋体" w:hAnsi="宋体" w:cs="宋体"/>
          <w:color w:val="auto"/>
          <w:sz w:val="24"/>
          <w:szCs w:val="24"/>
        </w:rPr>
      </w:pPr>
      <w:r>
        <w:rPr>
          <w:rFonts w:hint="eastAsia" w:ascii="宋体" w:hAnsi="宋体" w:cs="宋体"/>
          <w:color w:val="auto"/>
          <w:sz w:val="24"/>
          <w:szCs w:val="24"/>
        </w:rPr>
        <w:t>甲方（投保人） ：福建省宁德市汽车运输集团有限公司</w:t>
      </w:r>
    </w:p>
    <w:p>
      <w:pPr>
        <w:spacing w:line="360" w:lineRule="auto"/>
        <w:rPr>
          <w:rFonts w:ascii="宋体" w:hAnsi="宋体" w:cs="宋体"/>
          <w:color w:val="auto"/>
          <w:sz w:val="24"/>
          <w:szCs w:val="24"/>
        </w:rPr>
      </w:pPr>
      <w:r>
        <w:rPr>
          <w:rFonts w:hint="eastAsia" w:ascii="宋体" w:hAnsi="宋体" w:cs="宋体"/>
          <w:color w:val="auto"/>
          <w:sz w:val="24"/>
          <w:szCs w:val="24"/>
        </w:rPr>
        <w:t>法定代表人：</w:t>
      </w:r>
    </w:p>
    <w:p>
      <w:pPr>
        <w:spacing w:line="360" w:lineRule="auto"/>
        <w:rPr>
          <w:rFonts w:ascii="宋体" w:hAnsi="宋体" w:cs="宋体"/>
          <w:color w:val="auto"/>
          <w:sz w:val="24"/>
          <w:szCs w:val="24"/>
        </w:rPr>
      </w:pPr>
      <w:r>
        <w:rPr>
          <w:rFonts w:hint="eastAsia" w:ascii="宋体" w:hAnsi="宋体" w:cs="宋体"/>
          <w:color w:val="auto"/>
          <w:sz w:val="24"/>
          <w:szCs w:val="24"/>
        </w:rPr>
        <w:t>注册地址：</w:t>
      </w:r>
    </w:p>
    <w:p>
      <w:pPr>
        <w:spacing w:line="360" w:lineRule="auto"/>
        <w:rPr>
          <w:rFonts w:ascii="宋体" w:hAnsi="宋体" w:cs="宋体"/>
          <w:color w:val="auto"/>
          <w:sz w:val="24"/>
          <w:szCs w:val="24"/>
        </w:rPr>
      </w:pPr>
      <w:r>
        <w:rPr>
          <w:rFonts w:hint="eastAsia" w:ascii="宋体" w:hAnsi="宋体" w:cs="宋体"/>
          <w:color w:val="auto"/>
          <w:sz w:val="24"/>
          <w:szCs w:val="24"/>
        </w:rPr>
        <w:t xml:space="preserve"> </w:t>
      </w:r>
    </w:p>
    <w:p>
      <w:pPr>
        <w:spacing w:line="360" w:lineRule="auto"/>
        <w:rPr>
          <w:rFonts w:ascii="宋体" w:hAnsi="宋体" w:cs="宋体"/>
          <w:color w:val="auto"/>
          <w:sz w:val="24"/>
          <w:szCs w:val="24"/>
        </w:rPr>
      </w:pPr>
      <w:r>
        <w:rPr>
          <w:rFonts w:hint="eastAsia" w:ascii="宋体" w:hAnsi="宋体" w:cs="宋体"/>
          <w:color w:val="auto"/>
          <w:sz w:val="24"/>
          <w:szCs w:val="24"/>
        </w:rPr>
        <w:t>乙方（保险人）:</w:t>
      </w:r>
    </w:p>
    <w:p>
      <w:pPr>
        <w:spacing w:line="360" w:lineRule="auto"/>
        <w:rPr>
          <w:rFonts w:ascii="宋体" w:hAnsi="宋体" w:cs="宋体"/>
          <w:color w:val="auto"/>
          <w:sz w:val="24"/>
          <w:szCs w:val="24"/>
        </w:rPr>
      </w:pPr>
      <w:r>
        <w:rPr>
          <w:rFonts w:hint="eastAsia" w:ascii="宋体" w:hAnsi="宋体" w:cs="宋体"/>
          <w:color w:val="auto"/>
          <w:sz w:val="24"/>
          <w:szCs w:val="24"/>
        </w:rPr>
        <w:t>负责人：</w:t>
      </w:r>
    </w:p>
    <w:p>
      <w:pPr>
        <w:spacing w:line="360" w:lineRule="auto"/>
        <w:rPr>
          <w:rFonts w:ascii="宋体" w:hAnsi="宋体" w:cs="宋体"/>
          <w:color w:val="auto"/>
          <w:sz w:val="24"/>
          <w:szCs w:val="24"/>
        </w:rPr>
      </w:pPr>
      <w:r>
        <w:rPr>
          <w:rFonts w:hint="eastAsia" w:ascii="宋体" w:hAnsi="宋体" w:cs="宋体"/>
          <w:color w:val="auto"/>
          <w:sz w:val="24"/>
          <w:szCs w:val="24"/>
        </w:rPr>
        <w:t>注册地址：</w:t>
      </w:r>
    </w:p>
    <w:p>
      <w:pPr>
        <w:spacing w:line="360" w:lineRule="auto"/>
        <w:rPr>
          <w:rFonts w:ascii="宋体" w:hAnsi="宋体" w:cs="宋体"/>
          <w:color w:val="auto"/>
          <w:sz w:val="24"/>
          <w:szCs w:val="24"/>
        </w:rPr>
      </w:pPr>
      <w:r>
        <w:rPr>
          <w:rFonts w:hint="eastAsia" w:ascii="宋体" w:hAnsi="宋体" w:cs="宋体"/>
          <w:color w:val="auto"/>
          <w:sz w:val="24"/>
          <w:szCs w:val="24"/>
        </w:rPr>
        <w:t xml:space="preserve"> </w:t>
      </w:r>
    </w:p>
    <w:p>
      <w:pPr>
        <w:spacing w:line="360" w:lineRule="auto"/>
        <w:ind w:firstLine="560"/>
        <w:rPr>
          <w:rFonts w:ascii="宋体" w:hAnsi="宋体" w:cs="宋体"/>
          <w:color w:val="auto"/>
          <w:sz w:val="24"/>
          <w:szCs w:val="24"/>
        </w:rPr>
      </w:pPr>
      <w:r>
        <w:rPr>
          <w:rFonts w:hint="eastAsia" w:ascii="宋体" w:hAnsi="宋体" w:cs="宋体"/>
          <w:color w:val="auto"/>
          <w:sz w:val="24"/>
          <w:szCs w:val="24"/>
        </w:rPr>
        <w:t>甲、乙双方本着自愿、平等、互利和诚实信用的原则，经充分协商，就甲方指定乙方为甲方机动车辆保险及承运人责任险的保险承保人，乙方为甲方提供机动车辆保险及承运人责任险达成以下协议：</w:t>
      </w:r>
    </w:p>
    <w:p>
      <w:p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一、定义</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（一）被保险人：</w:t>
      </w:r>
    </w:p>
    <w:p>
      <w:pPr>
        <w:spacing w:line="360" w:lineRule="auto"/>
        <w:ind w:firstLine="570"/>
        <w:rPr>
          <w:rFonts w:ascii="宋体" w:hAnsi="宋体" w:cs="宋体"/>
          <w:color w:val="auto"/>
          <w:sz w:val="24"/>
          <w:szCs w:val="24"/>
        </w:rPr>
      </w:pPr>
      <w:r>
        <w:rPr>
          <w:rFonts w:hint="eastAsia" w:ascii="宋体" w:hAnsi="宋体" w:cs="宋体"/>
          <w:color w:val="auto"/>
          <w:sz w:val="24"/>
          <w:szCs w:val="24"/>
        </w:rPr>
        <w:t>福建省宁德市汽车运输集团有限公司</w:t>
      </w:r>
    </w:p>
    <w:p>
      <w:pPr>
        <w:spacing w:line="360" w:lineRule="auto"/>
        <w:ind w:firstLine="570"/>
        <w:rPr>
          <w:rFonts w:ascii="宋体" w:hAnsi="宋体" w:cs="宋体"/>
          <w:color w:val="auto"/>
          <w:sz w:val="24"/>
          <w:szCs w:val="24"/>
        </w:rPr>
      </w:pPr>
      <w:r>
        <w:rPr>
          <w:rFonts w:hint="eastAsia" w:ascii="宋体" w:hAnsi="宋体" w:cs="宋体"/>
          <w:color w:val="auto"/>
          <w:sz w:val="24"/>
          <w:szCs w:val="24"/>
        </w:rPr>
        <w:t>（二）保险人\保险公司\出单公司：</w:t>
      </w:r>
    </w:p>
    <w:p>
      <w:pPr>
        <w:spacing w:line="360" w:lineRule="auto"/>
        <w:ind w:firstLine="570"/>
        <w:jc w:val="left"/>
        <w:rPr>
          <w:rFonts w:ascii="宋体" w:hAnsi="宋体" w:cs="宋体"/>
          <w:color w:val="auto"/>
          <w:sz w:val="24"/>
          <w:szCs w:val="24"/>
        </w:rPr>
      </w:pPr>
      <w:r>
        <w:rPr>
          <w:rFonts w:hint="eastAsia" w:ascii="宋体" w:hAnsi="宋体" w:cs="宋体"/>
          <w:color w:val="auto"/>
          <w:sz w:val="24"/>
          <w:szCs w:val="24"/>
        </w:rPr>
        <w:t>相对应甲方被保险人，乙方指定的为其提供车辆保险承保出单、理赔以及相关保险服务的分支机构。</w:t>
      </w:r>
    </w:p>
    <w:p>
      <w:pPr>
        <w:spacing w:line="360" w:lineRule="auto"/>
        <w:ind w:firstLine="570"/>
        <w:jc w:val="left"/>
        <w:rPr>
          <w:rFonts w:ascii="宋体" w:hAnsi="宋体" w:cs="宋体"/>
          <w:color w:val="auto"/>
          <w:sz w:val="24"/>
          <w:szCs w:val="24"/>
        </w:rPr>
      </w:pPr>
      <w:r>
        <w:rPr>
          <w:rFonts w:hint="eastAsia" w:ascii="宋体" w:hAnsi="宋体" w:cs="宋体"/>
          <w:color w:val="auto"/>
          <w:sz w:val="24"/>
          <w:szCs w:val="24"/>
        </w:rPr>
        <w:t>乙方应指定与甲方被保险人同城的分支机构为出单公司。</w:t>
      </w:r>
    </w:p>
    <w:p>
      <w:pPr>
        <w:spacing w:line="360" w:lineRule="auto"/>
        <w:ind w:firstLine="570"/>
        <w:rPr>
          <w:rFonts w:ascii="宋体" w:hAnsi="宋体" w:cs="宋体"/>
          <w:color w:val="auto"/>
          <w:sz w:val="24"/>
          <w:szCs w:val="24"/>
        </w:rPr>
      </w:pPr>
      <w:r>
        <w:rPr>
          <w:rFonts w:hint="eastAsia" w:ascii="宋体" w:hAnsi="宋体" w:cs="宋体"/>
          <w:color w:val="auto"/>
          <w:sz w:val="24"/>
          <w:szCs w:val="24"/>
        </w:rPr>
        <w:t>出单公司具体名单由乙方提供。</w:t>
      </w:r>
    </w:p>
    <w:p>
      <w:pPr>
        <w:spacing w:line="360" w:lineRule="auto"/>
        <w:ind w:firstLine="570"/>
        <w:rPr>
          <w:rFonts w:ascii="宋体" w:hAnsi="宋体" w:cs="宋体"/>
          <w:color w:val="auto"/>
          <w:sz w:val="24"/>
          <w:szCs w:val="24"/>
        </w:rPr>
      </w:pPr>
      <w:r>
        <w:rPr>
          <w:rFonts w:hint="eastAsia" w:ascii="宋体" w:hAnsi="宋体" w:cs="宋体"/>
          <w:color w:val="auto"/>
          <w:sz w:val="24"/>
          <w:szCs w:val="24"/>
        </w:rPr>
        <w:t>（三）投保车辆</w:t>
      </w:r>
    </w:p>
    <w:p>
      <w:pPr>
        <w:spacing w:line="360" w:lineRule="auto"/>
        <w:ind w:firstLine="570"/>
        <w:rPr>
          <w:rFonts w:ascii="宋体" w:hAnsi="宋体" w:cs="宋体"/>
          <w:color w:val="auto"/>
          <w:sz w:val="24"/>
          <w:szCs w:val="24"/>
        </w:rPr>
      </w:pPr>
      <w:r>
        <w:rPr>
          <w:rFonts w:hint="eastAsia" w:ascii="宋体" w:hAnsi="宋体" w:cs="宋体"/>
          <w:color w:val="auto"/>
          <w:sz w:val="24"/>
          <w:szCs w:val="24"/>
        </w:rPr>
        <w:t>被保险人拥有可保利益的机动车辆，包括公务车辆、营运客车、旅游客车、出租车、公交车、货车、租赁车辆等，具体以被保险人提供的投保车辆清单为准。</w:t>
      </w:r>
    </w:p>
    <w:p>
      <w:p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二、协议组成</w:t>
      </w:r>
    </w:p>
    <w:p>
      <w:pPr>
        <w:pStyle w:val="9"/>
        <w:spacing w:line="360" w:lineRule="auto"/>
        <w:rPr>
          <w:rFonts w:ascii="宋体" w:hAnsi="宋体" w:cs="宋体"/>
          <w:color w:val="auto"/>
          <w:sz w:val="24"/>
          <w:szCs w:val="24"/>
        </w:rPr>
      </w:pPr>
      <w:r>
        <w:rPr>
          <w:rFonts w:hint="eastAsia" w:ascii="宋体" w:hAnsi="宋体" w:cs="宋体"/>
          <w:color w:val="auto"/>
          <w:sz w:val="24"/>
          <w:szCs w:val="24"/>
        </w:rPr>
        <w:t>（一）下列文件作为本协议的组成部分</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保险批单或补充协议；</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保险协议及附件；</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甲方投保资料；</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甲方招标文件、招标修改文件；</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乙方投标人文件、澄清文件；</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形成合同的其他有关文件</w:t>
      </w:r>
    </w:p>
    <w:p>
      <w:pPr>
        <w:pStyle w:val="9"/>
        <w:spacing w:line="360" w:lineRule="auto"/>
        <w:ind w:firstLine="240" w:firstLineChars="100"/>
        <w:rPr>
          <w:rFonts w:ascii="宋体" w:hAnsi="宋体" w:cs="宋体"/>
          <w:color w:val="auto"/>
          <w:sz w:val="24"/>
          <w:szCs w:val="24"/>
        </w:rPr>
      </w:pPr>
      <w:r>
        <w:rPr>
          <w:rFonts w:hint="eastAsia" w:ascii="宋体" w:hAnsi="宋体" w:cs="宋体"/>
          <w:color w:val="auto"/>
          <w:sz w:val="24"/>
          <w:szCs w:val="24"/>
        </w:rPr>
        <w:t xml:space="preserve"> （二）上述文件互为补充和解释，如有不清或互相矛盾之处，以上面所列顺序在前的为准，但有特别约定的除外。</w:t>
      </w:r>
    </w:p>
    <w:p>
      <w:p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三、保险种类</w:t>
      </w:r>
    </w:p>
    <w:p>
      <w:pPr>
        <w:pStyle w:val="9"/>
        <w:spacing w:line="360" w:lineRule="auto"/>
        <w:rPr>
          <w:rFonts w:ascii="宋体" w:hAnsi="宋体" w:cs="宋体"/>
          <w:color w:val="auto"/>
          <w:sz w:val="24"/>
          <w:szCs w:val="24"/>
        </w:rPr>
      </w:pPr>
      <w:r>
        <w:rPr>
          <w:rFonts w:hint="eastAsia" w:ascii="宋体" w:hAnsi="宋体" w:cs="宋体"/>
          <w:color w:val="auto"/>
          <w:sz w:val="24"/>
          <w:szCs w:val="24"/>
        </w:rPr>
        <w:t>甲方向乙方投保下列保险险种：</w:t>
      </w:r>
    </w:p>
    <w:p>
      <w:pPr>
        <w:numPr>
          <w:ilvl w:val="0"/>
          <w:numId w:val="11"/>
        </w:numPr>
        <w:spacing w:line="360" w:lineRule="auto"/>
        <w:ind w:left="420" w:leftChars="200"/>
        <w:rPr>
          <w:rFonts w:ascii="宋体" w:hAnsi="宋体" w:cs="宋体"/>
          <w:color w:val="auto"/>
          <w:sz w:val="24"/>
          <w:szCs w:val="24"/>
        </w:rPr>
      </w:pPr>
      <w:r>
        <w:rPr>
          <w:rFonts w:hint="eastAsia" w:ascii="宋体" w:hAnsi="宋体" w:cs="宋体"/>
          <w:color w:val="auto"/>
          <w:sz w:val="24"/>
          <w:szCs w:val="24"/>
        </w:rPr>
        <w:t>交强险</w:t>
      </w:r>
    </w:p>
    <w:p>
      <w:pPr>
        <w:numPr>
          <w:ilvl w:val="0"/>
          <w:numId w:val="11"/>
        </w:numPr>
        <w:spacing w:line="360" w:lineRule="auto"/>
        <w:ind w:left="420" w:leftChars="200"/>
        <w:rPr>
          <w:rFonts w:ascii="宋体" w:hAnsi="宋体" w:cs="宋体"/>
          <w:color w:val="auto"/>
          <w:sz w:val="24"/>
          <w:szCs w:val="24"/>
        </w:rPr>
      </w:pPr>
      <w:r>
        <w:rPr>
          <w:rFonts w:hint="eastAsia" w:ascii="宋体" w:hAnsi="宋体" w:cs="宋体"/>
          <w:color w:val="auto"/>
          <w:sz w:val="24"/>
          <w:szCs w:val="24"/>
        </w:rPr>
        <w:t>机动车辆商业保险（第三者责任险保额根据投保人实际需要选择100万至300万、如招标人有需求时可参照该条件投保车辆损失保险、不计免赔特约险）</w:t>
      </w:r>
    </w:p>
    <w:p>
      <w:pPr>
        <w:numPr>
          <w:ilvl w:val="0"/>
          <w:numId w:val="11"/>
        </w:numPr>
        <w:spacing w:line="360" w:lineRule="auto"/>
        <w:ind w:left="420" w:leftChars="200"/>
        <w:rPr>
          <w:rFonts w:ascii="宋体" w:hAnsi="宋体" w:cs="宋体"/>
          <w:color w:val="auto"/>
          <w:sz w:val="24"/>
          <w:szCs w:val="24"/>
        </w:rPr>
      </w:pPr>
      <w:r>
        <w:rPr>
          <w:rFonts w:hint="eastAsia" w:ascii="宋体" w:hAnsi="宋体" w:cs="宋体"/>
          <w:color w:val="auto"/>
          <w:sz w:val="24"/>
          <w:szCs w:val="24"/>
        </w:rPr>
        <w:t>道路客运承运人责任保险（保额：60万元/座）</w:t>
      </w:r>
    </w:p>
    <w:p>
      <w:pPr>
        <w:pStyle w:val="2"/>
        <w:numPr>
          <w:ilvl w:val="0"/>
          <w:numId w:val="11"/>
        </w:numPr>
        <w:ind w:left="420" w:leftChars="200"/>
        <w:rPr>
          <w:color w:val="auto"/>
        </w:rPr>
      </w:pPr>
      <w:r>
        <w:rPr>
          <w:rFonts w:hint="eastAsia" w:ascii="宋体" w:hAnsi="宋体" w:cs="宋体"/>
          <w:color w:val="auto"/>
          <w:sz w:val="24"/>
          <w:szCs w:val="24"/>
        </w:rPr>
        <w:t>安全生产责任保险</w:t>
      </w:r>
    </w:p>
    <w:p>
      <w:p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四、保险费率</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（一）机动车辆保险</w:t>
      </w:r>
    </w:p>
    <w:tbl>
      <w:tblPr>
        <w:tblStyle w:val="37"/>
        <w:tblW w:w="0" w:type="auto"/>
        <w:jc w:val="center"/>
        <w:tblLayout w:type="fixed"/>
        <w:tblCellMar>
          <w:top w:w="0" w:type="dxa"/>
          <w:left w:w="30" w:type="dxa"/>
          <w:bottom w:w="0" w:type="dxa"/>
          <w:right w:w="30" w:type="dxa"/>
        </w:tblCellMar>
      </w:tblPr>
      <w:tblGrid>
        <w:gridCol w:w="2367"/>
        <w:gridCol w:w="5493"/>
      </w:tblGrid>
      <w:tr>
        <w:trPr>
          <w:trHeight w:val="597" w:hRule="atLeast"/>
          <w:jc w:val="center"/>
        </w:trPr>
        <w:tc>
          <w:tcPr>
            <w:tcW w:w="2367" w:type="dxa"/>
            <w:tcBorders>
              <w:top w:val="single" w:color="auto" w:sz="6" w:space="0"/>
              <w:left w:val="single" w:color="auto" w:sz="6" w:space="0"/>
              <w:bottom w:val="single" w:color="auto" w:sz="6" w:space="0"/>
              <w:right w:val="single" w:color="auto" w:sz="6" w:space="0"/>
            </w:tcBorders>
            <w:shd w:val="clear" w:color="auto" w:fill="E0E0E0"/>
            <w:vAlign w:val="center"/>
          </w:tcPr>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保险险种</w:t>
            </w:r>
          </w:p>
        </w:tc>
        <w:tc>
          <w:tcPr>
            <w:tcW w:w="5493" w:type="dxa"/>
            <w:tcBorders>
              <w:top w:val="single" w:color="auto" w:sz="6" w:space="0"/>
              <w:left w:val="nil"/>
              <w:bottom w:val="single" w:color="auto" w:sz="6" w:space="0"/>
              <w:right w:val="single" w:color="auto" w:sz="6" w:space="0"/>
            </w:tcBorders>
            <w:shd w:val="clear" w:color="auto" w:fill="E0E0E0"/>
            <w:vAlign w:val="center"/>
          </w:tcPr>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统一折扣系数</w:t>
            </w:r>
          </w:p>
        </w:tc>
      </w:tr>
      <w:tr>
        <w:tblPrEx>
          <w:tblCellMar>
            <w:top w:w="0" w:type="dxa"/>
            <w:left w:w="30" w:type="dxa"/>
            <w:bottom w:w="0" w:type="dxa"/>
            <w:right w:w="30" w:type="dxa"/>
          </w:tblCellMar>
        </w:tblPrEx>
        <w:trPr>
          <w:trHeight w:val="631" w:hRule="atLeast"/>
          <w:jc w:val="center"/>
        </w:trPr>
        <w:tc>
          <w:tcPr>
            <w:tcW w:w="2367" w:type="dxa"/>
            <w:tcBorders>
              <w:top w:val="single" w:color="auto" w:sz="6" w:space="0"/>
              <w:left w:val="single" w:color="auto" w:sz="6" w:space="0"/>
              <w:bottom w:val="single" w:color="auto" w:sz="6" w:space="0"/>
              <w:right w:val="single" w:color="auto" w:sz="6" w:space="0"/>
            </w:tcBorders>
            <w:vAlign w:val="center"/>
          </w:tcPr>
          <w:p>
            <w:pPr>
              <w:pStyle w:val="9"/>
              <w:spacing w:line="360" w:lineRule="auto"/>
              <w:ind w:firstLine="0"/>
              <w:jc w:val="center"/>
              <w:rPr>
                <w:rFonts w:ascii="宋体" w:hAnsi="宋体" w:cs="宋体"/>
                <w:color w:val="auto"/>
                <w:sz w:val="24"/>
                <w:szCs w:val="24"/>
              </w:rPr>
            </w:pPr>
            <w:r>
              <w:rPr>
                <w:rFonts w:hint="eastAsia" w:ascii="宋体" w:hAnsi="宋体" w:cs="宋体"/>
                <w:color w:val="auto"/>
                <w:sz w:val="24"/>
                <w:szCs w:val="24"/>
              </w:rPr>
              <w:t>机动车辆商业保险</w:t>
            </w:r>
          </w:p>
        </w:tc>
        <w:tc>
          <w:tcPr>
            <w:tcW w:w="5493" w:type="dxa"/>
            <w:tcBorders>
              <w:top w:val="single" w:color="auto" w:sz="6" w:space="0"/>
              <w:left w:val="nil"/>
              <w:bottom w:val="single" w:color="auto" w:sz="6" w:space="0"/>
              <w:right w:val="single" w:color="auto" w:sz="6" w:space="0"/>
            </w:tcBorders>
            <w:vAlign w:val="center"/>
          </w:tcPr>
          <w:p>
            <w:pPr>
              <w:spacing w:line="360" w:lineRule="auto"/>
              <w:ind w:right="113"/>
              <w:jc w:val="center"/>
              <w:rPr>
                <w:rFonts w:ascii="宋体" w:hAnsi="宋体" w:cs="宋体"/>
                <w:color w:val="auto"/>
                <w:sz w:val="24"/>
                <w:szCs w:val="24"/>
              </w:rPr>
            </w:pPr>
          </w:p>
        </w:tc>
      </w:tr>
      <w:tr>
        <w:tblPrEx>
          <w:tblCellMar>
            <w:top w:w="0" w:type="dxa"/>
            <w:left w:w="30" w:type="dxa"/>
            <w:bottom w:w="0" w:type="dxa"/>
            <w:right w:w="30" w:type="dxa"/>
          </w:tblCellMar>
        </w:tblPrEx>
        <w:trPr>
          <w:trHeight w:val="788" w:hRule="atLeast"/>
          <w:jc w:val="center"/>
        </w:trPr>
        <w:tc>
          <w:tcPr>
            <w:tcW w:w="2367" w:type="dxa"/>
            <w:tcBorders>
              <w:top w:val="single" w:color="auto" w:sz="6" w:space="0"/>
              <w:left w:val="single" w:color="auto" w:sz="6" w:space="0"/>
              <w:bottom w:val="single" w:color="auto" w:sz="6" w:space="0"/>
              <w:right w:val="single" w:color="auto" w:sz="6" w:space="0"/>
            </w:tcBorders>
            <w:vAlign w:val="center"/>
          </w:tcPr>
          <w:p>
            <w:pPr>
              <w:pStyle w:val="9"/>
              <w:spacing w:line="360" w:lineRule="auto"/>
              <w:ind w:firstLine="0"/>
              <w:jc w:val="center"/>
              <w:rPr>
                <w:rFonts w:ascii="宋体" w:hAnsi="宋体" w:cs="宋体"/>
                <w:color w:val="auto"/>
                <w:sz w:val="24"/>
                <w:szCs w:val="24"/>
              </w:rPr>
            </w:pPr>
            <w:r>
              <w:rPr>
                <w:rFonts w:hint="eastAsia" w:ascii="宋体" w:hAnsi="宋体" w:cs="宋体"/>
                <w:color w:val="auto"/>
                <w:sz w:val="24"/>
                <w:szCs w:val="24"/>
              </w:rPr>
              <w:t>交强险</w:t>
            </w:r>
          </w:p>
        </w:tc>
        <w:tc>
          <w:tcPr>
            <w:tcW w:w="5493" w:type="dxa"/>
            <w:tcBorders>
              <w:top w:val="single" w:color="auto" w:sz="6" w:space="0"/>
              <w:left w:val="nil"/>
              <w:bottom w:val="single" w:color="auto" w:sz="6" w:space="0"/>
              <w:right w:val="single" w:color="auto" w:sz="6" w:space="0"/>
            </w:tcBorders>
            <w:vAlign w:val="center"/>
          </w:tcPr>
          <w:p>
            <w:pPr>
              <w:pStyle w:val="9"/>
              <w:spacing w:line="360" w:lineRule="auto"/>
              <w:ind w:firstLine="0"/>
              <w:jc w:val="left"/>
              <w:rPr>
                <w:rFonts w:ascii="宋体" w:hAnsi="宋体" w:cs="宋体"/>
                <w:color w:val="auto"/>
                <w:sz w:val="24"/>
                <w:szCs w:val="24"/>
              </w:rPr>
            </w:pPr>
            <w:r>
              <w:rPr>
                <w:rFonts w:hint="eastAsia" w:ascii="宋体" w:hAnsi="宋体" w:cs="宋体"/>
                <w:color w:val="auto"/>
                <w:sz w:val="24"/>
                <w:szCs w:val="24"/>
              </w:rPr>
              <w:t>按照投保当时国家规定的最新政策执行</w:t>
            </w:r>
          </w:p>
        </w:tc>
      </w:tr>
    </w:tbl>
    <w:p>
      <w:pPr>
        <w:widowControl/>
        <w:spacing w:afterLines="50"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rPr>
        <w:t>说明：</w:t>
      </w:r>
      <w:r>
        <w:rPr>
          <w:rFonts w:hint="eastAsia" w:ascii="宋体" w:hAnsi="宋体" w:cs="宋体"/>
          <w:bCs/>
          <w:color w:val="auto"/>
          <w:sz w:val="24"/>
          <w:szCs w:val="24"/>
        </w:rPr>
        <w:t>保险公司</w:t>
      </w:r>
      <w:r>
        <w:rPr>
          <w:rFonts w:hint="eastAsia" w:ascii="宋体" w:hAnsi="宋体" w:cs="宋体"/>
          <w:color w:val="auto"/>
          <w:sz w:val="24"/>
          <w:szCs w:val="24"/>
        </w:rPr>
        <w:t>在中保协及平台规定的标准保费及优惠系数的基础上，给予所投保机动车辆商业险的统一折扣系数Pn，即保险费=（纯风险保费/(1-附加费用率））×NCD因子×交通违法系数× Pn。</w:t>
      </w:r>
    </w:p>
    <w:p>
      <w:pPr>
        <w:numPr>
          <w:ilvl w:val="0"/>
          <w:numId w:val="12"/>
        </w:num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道路客运承运人责任险</w:t>
      </w:r>
    </w:p>
    <w:tbl>
      <w:tblPr>
        <w:tblStyle w:val="37"/>
        <w:tblW w:w="0" w:type="auto"/>
        <w:jc w:val="center"/>
        <w:tblLayout w:type="fixed"/>
        <w:tblCellMar>
          <w:top w:w="0" w:type="dxa"/>
          <w:left w:w="108" w:type="dxa"/>
          <w:bottom w:w="0" w:type="dxa"/>
          <w:right w:w="108" w:type="dxa"/>
        </w:tblCellMar>
      </w:tblPr>
      <w:tblGrid>
        <w:gridCol w:w="2700"/>
        <w:gridCol w:w="2700"/>
        <w:gridCol w:w="2160"/>
      </w:tblGrid>
      <w:tr>
        <w:tblPrEx>
          <w:tblCellMar>
            <w:top w:w="0" w:type="dxa"/>
            <w:left w:w="108" w:type="dxa"/>
            <w:bottom w:w="0" w:type="dxa"/>
            <w:right w:w="108" w:type="dxa"/>
          </w:tblCellMar>
        </w:tblPrEx>
        <w:trPr>
          <w:trHeight w:val="465" w:hRule="atLeast"/>
          <w:jc w:val="center"/>
        </w:trPr>
        <w:tc>
          <w:tcPr>
            <w:tcW w:w="2700" w:type="dxa"/>
            <w:tcBorders>
              <w:top w:val="single" w:color="auto" w:sz="4" w:space="0"/>
              <w:left w:val="single" w:color="auto" w:sz="4" w:space="0"/>
              <w:bottom w:val="single" w:color="auto" w:sz="4" w:space="0"/>
              <w:right w:val="single" w:color="auto" w:sz="4" w:space="0"/>
            </w:tcBorders>
            <w:shd w:val="clear" w:color="auto" w:fill="CCCCCC"/>
          </w:tcPr>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每座位赔偿限额</w:t>
            </w:r>
          </w:p>
        </w:tc>
        <w:tc>
          <w:tcPr>
            <w:tcW w:w="2700" w:type="dxa"/>
            <w:tcBorders>
              <w:top w:val="single" w:color="auto" w:sz="4" w:space="0"/>
              <w:left w:val="nil"/>
              <w:bottom w:val="single" w:color="auto" w:sz="4" w:space="0"/>
              <w:right w:val="single" w:color="auto" w:sz="4" w:space="0"/>
            </w:tcBorders>
            <w:shd w:val="clear" w:color="auto" w:fill="CCCCCC"/>
          </w:tcPr>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保险费率</w:t>
            </w:r>
          </w:p>
        </w:tc>
        <w:tc>
          <w:tcPr>
            <w:tcW w:w="2160" w:type="dxa"/>
            <w:tcBorders>
              <w:top w:val="single" w:color="auto" w:sz="4" w:space="0"/>
              <w:left w:val="nil"/>
              <w:bottom w:val="single" w:color="auto" w:sz="4" w:space="0"/>
              <w:right w:val="single" w:color="auto" w:sz="4" w:space="0"/>
            </w:tcBorders>
            <w:shd w:val="clear" w:color="auto" w:fill="CCCCCC"/>
          </w:tcPr>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每座保险费</w:t>
            </w:r>
          </w:p>
        </w:tc>
      </w:tr>
      <w:tr>
        <w:tblPrEx>
          <w:tblCellMar>
            <w:top w:w="0" w:type="dxa"/>
            <w:left w:w="108" w:type="dxa"/>
            <w:bottom w:w="0" w:type="dxa"/>
            <w:right w:w="108" w:type="dxa"/>
          </w:tblCellMar>
        </w:tblPrEx>
        <w:trPr>
          <w:trHeight w:val="450" w:hRule="atLeast"/>
          <w:jc w:val="center"/>
        </w:trPr>
        <w:tc>
          <w:tcPr>
            <w:tcW w:w="2700" w:type="dxa"/>
            <w:tcBorders>
              <w:top w:val="single" w:color="auto" w:sz="4" w:space="0"/>
              <w:left w:val="single" w:color="auto" w:sz="4" w:space="0"/>
              <w:bottom w:val="single" w:color="auto" w:sz="4" w:space="0"/>
              <w:right w:val="single" w:color="auto" w:sz="4" w:space="0"/>
            </w:tcBorders>
          </w:tcPr>
          <w:p>
            <w:pPr>
              <w:pStyle w:val="9"/>
              <w:spacing w:line="360" w:lineRule="auto"/>
              <w:rPr>
                <w:rFonts w:ascii="宋体" w:hAnsi="宋体" w:cs="宋体"/>
                <w:color w:val="auto"/>
                <w:sz w:val="24"/>
                <w:szCs w:val="24"/>
              </w:rPr>
            </w:pPr>
            <w:r>
              <w:rPr>
                <w:rFonts w:hint="eastAsia" w:ascii="宋体" w:hAnsi="宋体" w:cs="宋体"/>
                <w:color w:val="auto"/>
                <w:sz w:val="24"/>
                <w:szCs w:val="24"/>
              </w:rPr>
              <w:t>RMB60万元</w:t>
            </w:r>
          </w:p>
        </w:tc>
        <w:tc>
          <w:tcPr>
            <w:tcW w:w="2700" w:type="dxa"/>
            <w:tcBorders>
              <w:top w:val="single" w:color="auto" w:sz="4" w:space="0"/>
              <w:left w:val="nil"/>
              <w:bottom w:val="single" w:color="auto" w:sz="4" w:space="0"/>
              <w:right w:val="single" w:color="auto" w:sz="4" w:space="0"/>
            </w:tcBorders>
          </w:tcPr>
          <w:p>
            <w:pPr>
              <w:pStyle w:val="9"/>
              <w:spacing w:line="360" w:lineRule="auto"/>
              <w:rPr>
                <w:rFonts w:ascii="宋体" w:hAnsi="宋体" w:cs="宋体"/>
                <w:color w:val="auto"/>
                <w:sz w:val="24"/>
                <w:szCs w:val="24"/>
              </w:rPr>
            </w:pPr>
            <w:r>
              <w:rPr>
                <w:rFonts w:hint="eastAsia" w:ascii="宋体" w:hAnsi="宋体" w:cs="宋体"/>
                <w:color w:val="auto"/>
                <w:sz w:val="24"/>
                <w:szCs w:val="24"/>
              </w:rPr>
              <w:t xml:space="preserve">    ‰</w:t>
            </w:r>
          </w:p>
        </w:tc>
        <w:tc>
          <w:tcPr>
            <w:tcW w:w="2160" w:type="dxa"/>
            <w:tcBorders>
              <w:top w:val="single" w:color="auto" w:sz="4" w:space="0"/>
              <w:left w:val="nil"/>
              <w:bottom w:val="single" w:color="auto" w:sz="4" w:space="0"/>
              <w:right w:val="single" w:color="auto" w:sz="4" w:space="0"/>
            </w:tcBorders>
          </w:tcPr>
          <w:p>
            <w:pPr>
              <w:pStyle w:val="9"/>
              <w:spacing w:line="360" w:lineRule="auto"/>
              <w:ind w:firstLine="0"/>
              <w:rPr>
                <w:rFonts w:ascii="宋体" w:hAnsi="宋体" w:cs="宋体"/>
                <w:color w:val="auto"/>
                <w:sz w:val="24"/>
                <w:szCs w:val="24"/>
              </w:rPr>
            </w:pPr>
            <w:r>
              <w:rPr>
                <w:rFonts w:hint="eastAsia" w:ascii="宋体" w:hAnsi="宋体" w:cs="宋体"/>
                <w:color w:val="auto"/>
                <w:sz w:val="24"/>
                <w:szCs w:val="24"/>
              </w:rPr>
              <w:t xml:space="preserve"> RMB    元/座</w:t>
            </w:r>
          </w:p>
        </w:tc>
      </w:tr>
    </w:tbl>
    <w:p>
      <w:pPr>
        <w:spacing w:line="360" w:lineRule="auto"/>
        <w:ind w:firstLine="482" w:firstLineChars="200"/>
        <w:rPr>
          <w:rFonts w:ascii="宋体" w:hAnsi="宋体" w:cs="宋体"/>
          <w:b/>
          <w:bCs/>
          <w:color w:val="auto"/>
          <w:sz w:val="24"/>
          <w:szCs w:val="24"/>
        </w:rPr>
      </w:pP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（三）安全生产责任保险</w:t>
      </w:r>
    </w:p>
    <w:tbl>
      <w:tblPr>
        <w:tblStyle w:val="37"/>
        <w:tblW w:w="0" w:type="auto"/>
        <w:jc w:val="center"/>
        <w:tblLayout w:type="fixed"/>
        <w:tblCellMar>
          <w:top w:w="0" w:type="dxa"/>
          <w:left w:w="108" w:type="dxa"/>
          <w:bottom w:w="0" w:type="dxa"/>
          <w:right w:w="108" w:type="dxa"/>
        </w:tblCellMar>
      </w:tblPr>
      <w:tblGrid>
        <w:gridCol w:w="2700"/>
        <w:gridCol w:w="2700"/>
        <w:gridCol w:w="2160"/>
      </w:tblGrid>
      <w:tr>
        <w:tblPrEx>
          <w:tblCellMar>
            <w:top w:w="0" w:type="dxa"/>
            <w:left w:w="108" w:type="dxa"/>
            <w:bottom w:w="0" w:type="dxa"/>
            <w:right w:w="108" w:type="dxa"/>
          </w:tblCellMar>
        </w:tblPrEx>
        <w:trPr>
          <w:trHeight w:val="465" w:hRule="atLeast"/>
          <w:jc w:val="center"/>
        </w:trPr>
        <w:tc>
          <w:tcPr>
            <w:tcW w:w="2700" w:type="dxa"/>
            <w:tcBorders>
              <w:top w:val="single" w:color="auto" w:sz="4" w:space="0"/>
              <w:left w:val="single" w:color="auto" w:sz="4" w:space="0"/>
              <w:bottom w:val="single" w:color="auto" w:sz="4" w:space="0"/>
              <w:right w:val="single" w:color="auto" w:sz="4" w:space="0"/>
            </w:tcBorders>
            <w:shd w:val="clear" w:color="auto" w:fill="CCCCCC"/>
          </w:tcPr>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每人赔偿限额</w:t>
            </w:r>
          </w:p>
        </w:tc>
        <w:tc>
          <w:tcPr>
            <w:tcW w:w="2700" w:type="dxa"/>
            <w:tcBorders>
              <w:top w:val="single" w:color="auto" w:sz="4" w:space="0"/>
              <w:left w:val="nil"/>
              <w:bottom w:val="single" w:color="auto" w:sz="4" w:space="0"/>
              <w:right w:val="single" w:color="auto" w:sz="4" w:space="0"/>
            </w:tcBorders>
            <w:shd w:val="clear" w:color="auto" w:fill="CCCCCC"/>
          </w:tcPr>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岗位</w:t>
            </w:r>
          </w:p>
        </w:tc>
        <w:tc>
          <w:tcPr>
            <w:tcW w:w="2160" w:type="dxa"/>
            <w:tcBorders>
              <w:top w:val="single" w:color="auto" w:sz="4" w:space="0"/>
              <w:left w:val="nil"/>
              <w:bottom w:val="single" w:color="auto" w:sz="4" w:space="0"/>
              <w:right w:val="single" w:color="auto" w:sz="4" w:space="0"/>
            </w:tcBorders>
            <w:shd w:val="clear" w:color="auto" w:fill="CCCCCC"/>
          </w:tcPr>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每人保险费</w:t>
            </w:r>
          </w:p>
        </w:tc>
      </w:tr>
      <w:tr>
        <w:tblPrEx>
          <w:tblCellMar>
            <w:top w:w="0" w:type="dxa"/>
            <w:left w:w="108" w:type="dxa"/>
            <w:bottom w:w="0" w:type="dxa"/>
            <w:right w:w="108" w:type="dxa"/>
          </w:tblCellMar>
        </w:tblPrEx>
        <w:trPr>
          <w:trHeight w:val="450" w:hRule="atLeast"/>
          <w:jc w:val="center"/>
        </w:trPr>
        <w:tc>
          <w:tcPr>
            <w:tcW w:w="2700" w:type="dxa"/>
            <w:tcBorders>
              <w:top w:val="single" w:color="auto" w:sz="4" w:space="0"/>
              <w:left w:val="single" w:color="auto" w:sz="4" w:space="0"/>
              <w:bottom w:val="single" w:color="auto" w:sz="4" w:space="0"/>
              <w:right w:val="single" w:color="auto" w:sz="4" w:space="0"/>
            </w:tcBorders>
          </w:tcPr>
          <w:p>
            <w:pPr>
              <w:pStyle w:val="9"/>
              <w:spacing w:line="360" w:lineRule="auto"/>
              <w:rPr>
                <w:rFonts w:ascii="宋体" w:hAnsi="宋体" w:cs="宋体"/>
                <w:color w:val="auto"/>
                <w:sz w:val="24"/>
                <w:szCs w:val="24"/>
              </w:rPr>
            </w:pPr>
            <w:r>
              <w:rPr>
                <w:rFonts w:hint="eastAsia" w:ascii="宋体" w:hAnsi="宋体" w:cs="宋体"/>
                <w:color w:val="auto"/>
                <w:sz w:val="24"/>
                <w:szCs w:val="24"/>
              </w:rPr>
              <w:t>RM</w:t>
            </w:r>
            <w:r>
              <w:rPr>
                <w:rFonts w:ascii="宋体" w:hAnsi="宋体" w:cs="宋体"/>
                <w:color w:val="auto"/>
                <w:sz w:val="24"/>
                <w:szCs w:val="24"/>
              </w:rPr>
              <w:t xml:space="preserve">    </w:t>
            </w:r>
            <w:r>
              <w:rPr>
                <w:rFonts w:hint="eastAsia" w:ascii="宋体" w:hAnsi="宋体" w:cs="宋体"/>
                <w:color w:val="auto"/>
                <w:sz w:val="24"/>
                <w:szCs w:val="24"/>
              </w:rPr>
              <w:t>万元</w:t>
            </w:r>
          </w:p>
        </w:tc>
        <w:tc>
          <w:tcPr>
            <w:tcW w:w="2700" w:type="dxa"/>
            <w:tcBorders>
              <w:top w:val="single" w:color="auto" w:sz="4" w:space="0"/>
              <w:left w:val="nil"/>
              <w:bottom w:val="single" w:color="auto" w:sz="4" w:space="0"/>
              <w:right w:val="single" w:color="auto" w:sz="4" w:space="0"/>
            </w:tcBorders>
          </w:tcPr>
          <w:p>
            <w:pPr>
              <w:pStyle w:val="9"/>
              <w:spacing w:line="360" w:lineRule="auto"/>
              <w:ind w:firstLine="0"/>
              <w:jc w:val="center"/>
              <w:rPr>
                <w:rFonts w:ascii="宋体" w:hAnsi="宋体" w:cs="宋体"/>
                <w:color w:val="auto"/>
                <w:sz w:val="24"/>
                <w:szCs w:val="24"/>
              </w:rPr>
            </w:pPr>
            <w:r>
              <w:rPr>
                <w:rFonts w:hint="eastAsia" w:ascii="宋体" w:hAnsi="宋体" w:cs="宋体"/>
                <w:color w:val="auto"/>
                <w:sz w:val="24"/>
                <w:szCs w:val="24"/>
              </w:rPr>
              <w:t>外勤</w:t>
            </w:r>
          </w:p>
        </w:tc>
        <w:tc>
          <w:tcPr>
            <w:tcW w:w="2160" w:type="dxa"/>
            <w:tcBorders>
              <w:top w:val="single" w:color="auto" w:sz="4" w:space="0"/>
              <w:left w:val="nil"/>
              <w:bottom w:val="single" w:color="auto" w:sz="4" w:space="0"/>
              <w:right w:val="single" w:color="auto" w:sz="4" w:space="0"/>
            </w:tcBorders>
          </w:tcPr>
          <w:p>
            <w:pPr>
              <w:pStyle w:val="9"/>
              <w:spacing w:line="360" w:lineRule="auto"/>
              <w:ind w:firstLine="0"/>
              <w:rPr>
                <w:rFonts w:ascii="宋体" w:hAnsi="宋体" w:cs="宋体"/>
                <w:color w:val="auto"/>
                <w:sz w:val="24"/>
                <w:szCs w:val="24"/>
              </w:rPr>
            </w:pPr>
            <w:r>
              <w:rPr>
                <w:rFonts w:hint="eastAsia" w:ascii="宋体" w:hAnsi="宋体" w:cs="宋体"/>
                <w:color w:val="auto"/>
                <w:sz w:val="24"/>
                <w:szCs w:val="24"/>
              </w:rPr>
              <w:t xml:space="preserve"> RMB120元/人</w:t>
            </w:r>
          </w:p>
        </w:tc>
      </w:tr>
      <w:tr>
        <w:tblPrEx>
          <w:tblCellMar>
            <w:top w:w="0" w:type="dxa"/>
            <w:left w:w="108" w:type="dxa"/>
            <w:bottom w:w="0" w:type="dxa"/>
            <w:right w:w="108" w:type="dxa"/>
          </w:tblCellMar>
        </w:tblPrEx>
        <w:trPr>
          <w:trHeight w:val="450" w:hRule="atLeast"/>
          <w:jc w:val="center"/>
        </w:trPr>
        <w:tc>
          <w:tcPr>
            <w:tcW w:w="2700" w:type="dxa"/>
            <w:tcBorders>
              <w:top w:val="single" w:color="auto" w:sz="4" w:space="0"/>
              <w:left w:val="single" w:color="auto" w:sz="4" w:space="0"/>
              <w:bottom w:val="single" w:color="auto" w:sz="4" w:space="0"/>
              <w:right w:val="single" w:color="auto" w:sz="4" w:space="0"/>
            </w:tcBorders>
          </w:tcPr>
          <w:p>
            <w:pPr>
              <w:pStyle w:val="9"/>
              <w:spacing w:line="360" w:lineRule="auto"/>
              <w:rPr>
                <w:rFonts w:ascii="宋体" w:hAnsi="宋体" w:cs="宋体"/>
                <w:color w:val="auto"/>
                <w:sz w:val="24"/>
                <w:szCs w:val="24"/>
              </w:rPr>
            </w:pPr>
            <w:r>
              <w:rPr>
                <w:rFonts w:hint="eastAsia" w:ascii="宋体" w:hAnsi="宋体" w:cs="宋体"/>
                <w:color w:val="auto"/>
                <w:sz w:val="24"/>
                <w:szCs w:val="24"/>
              </w:rPr>
              <w:t>RMB</w:t>
            </w:r>
            <w:r>
              <w:rPr>
                <w:rFonts w:ascii="宋体" w:hAnsi="宋体" w:cs="宋体"/>
                <w:color w:val="auto"/>
                <w:sz w:val="24"/>
                <w:szCs w:val="24"/>
              </w:rPr>
              <w:t xml:space="preserve">   </w:t>
            </w:r>
            <w:r>
              <w:rPr>
                <w:rFonts w:hint="eastAsia" w:ascii="宋体" w:hAnsi="宋体" w:cs="宋体"/>
                <w:color w:val="auto"/>
                <w:sz w:val="24"/>
                <w:szCs w:val="24"/>
              </w:rPr>
              <w:t>万元</w:t>
            </w:r>
          </w:p>
        </w:tc>
        <w:tc>
          <w:tcPr>
            <w:tcW w:w="2700" w:type="dxa"/>
            <w:tcBorders>
              <w:top w:val="single" w:color="auto" w:sz="4" w:space="0"/>
              <w:left w:val="nil"/>
              <w:bottom w:val="single" w:color="auto" w:sz="4" w:space="0"/>
              <w:right w:val="single" w:color="auto" w:sz="4" w:space="0"/>
            </w:tcBorders>
          </w:tcPr>
          <w:p>
            <w:pPr>
              <w:pStyle w:val="9"/>
              <w:spacing w:line="360" w:lineRule="auto"/>
              <w:ind w:firstLine="0"/>
              <w:jc w:val="center"/>
              <w:rPr>
                <w:rFonts w:ascii="宋体" w:hAnsi="宋体" w:cs="宋体"/>
                <w:color w:val="auto"/>
                <w:sz w:val="24"/>
                <w:szCs w:val="24"/>
              </w:rPr>
            </w:pPr>
            <w:r>
              <w:rPr>
                <w:rFonts w:hint="eastAsia" w:ascii="宋体" w:hAnsi="宋体" w:cs="宋体"/>
                <w:color w:val="auto"/>
                <w:sz w:val="24"/>
                <w:szCs w:val="24"/>
              </w:rPr>
              <w:t>内勤</w:t>
            </w:r>
          </w:p>
        </w:tc>
        <w:tc>
          <w:tcPr>
            <w:tcW w:w="2160" w:type="dxa"/>
            <w:tcBorders>
              <w:top w:val="single" w:color="auto" w:sz="4" w:space="0"/>
              <w:left w:val="nil"/>
              <w:bottom w:val="single" w:color="auto" w:sz="4" w:space="0"/>
              <w:right w:val="single" w:color="auto" w:sz="4" w:space="0"/>
            </w:tcBorders>
          </w:tcPr>
          <w:p>
            <w:pPr>
              <w:pStyle w:val="9"/>
              <w:spacing w:line="360" w:lineRule="auto"/>
              <w:ind w:firstLine="120" w:firstLineChars="50"/>
              <w:rPr>
                <w:rFonts w:ascii="宋体" w:hAnsi="宋体" w:cs="宋体"/>
                <w:color w:val="auto"/>
                <w:sz w:val="24"/>
                <w:szCs w:val="24"/>
              </w:rPr>
            </w:pPr>
            <w:r>
              <w:rPr>
                <w:rFonts w:hint="eastAsia" w:ascii="宋体" w:hAnsi="宋体" w:cs="宋体"/>
                <w:color w:val="auto"/>
                <w:sz w:val="24"/>
                <w:szCs w:val="24"/>
              </w:rPr>
              <w:t>RMB60元/人</w:t>
            </w:r>
          </w:p>
        </w:tc>
      </w:tr>
    </w:tbl>
    <w:p>
      <w:pPr>
        <w:spacing w:line="360" w:lineRule="auto"/>
        <w:ind w:firstLine="482" w:firstLineChars="200"/>
        <w:rPr>
          <w:rFonts w:ascii="宋体" w:hAnsi="宋体" w:cs="宋体"/>
          <w:b/>
          <w:bCs/>
          <w:color w:val="auto"/>
          <w:sz w:val="24"/>
          <w:szCs w:val="24"/>
        </w:rPr>
      </w:pPr>
    </w:p>
    <w:p>
      <w:p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五、具体保险条件</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详见协议附件1：保险单明细及保险条款、附加条款</w:t>
      </w:r>
    </w:p>
    <w:p>
      <w:pPr>
        <w:spacing w:line="360" w:lineRule="auto"/>
        <w:ind w:firstLine="1440" w:firstLineChars="600"/>
        <w:rPr>
          <w:rFonts w:ascii="宋体" w:hAnsi="宋体" w:cs="宋体"/>
          <w:color w:val="auto"/>
          <w:sz w:val="24"/>
          <w:szCs w:val="24"/>
        </w:rPr>
      </w:pPr>
      <w:r>
        <w:rPr>
          <w:rFonts w:hint="eastAsia" w:ascii="宋体" w:hAnsi="宋体" w:cs="宋体"/>
          <w:color w:val="auto"/>
          <w:sz w:val="24"/>
          <w:szCs w:val="24"/>
        </w:rPr>
        <w:t>附件2：保险理赔服务约定</w:t>
      </w:r>
    </w:p>
    <w:p>
      <w:pPr>
        <w:numPr>
          <w:ilvl w:val="0"/>
          <w:numId w:val="13"/>
        </w:num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投保与承保出单</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由于实行见费出单制度，甲方及时向乙方提供 “投保车辆清单”，乙方应在甲方递交投保资料之日起（包括传真、电子邮件形式）1个工作日内完成保费测算并将测算单提交甲方。甲方在核对无误后立即办理转款事宜。</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本协议签署后，若甲方提供了有关投保资料并交纳保险费，乙方将在规定的时限内完成出单，承担有关保险责任。</w:t>
      </w:r>
    </w:p>
    <w:p>
      <w:pPr>
        <w:pStyle w:val="9"/>
        <w:spacing w:line="360" w:lineRule="auto"/>
        <w:rPr>
          <w:rFonts w:ascii="宋体" w:hAnsi="宋体" w:cs="宋体"/>
          <w:color w:val="auto"/>
          <w:sz w:val="24"/>
          <w:szCs w:val="24"/>
        </w:rPr>
      </w:pPr>
      <w:r>
        <w:rPr>
          <w:rFonts w:hint="eastAsia" w:ascii="宋体" w:hAnsi="宋体" w:cs="宋体"/>
          <w:color w:val="auto"/>
          <w:sz w:val="24"/>
          <w:szCs w:val="24"/>
        </w:rPr>
        <w:t>以上险种协议期限自协议签订之日开始计算，期限为一年。</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本协议签署后，若甲方提供了有关投保资料并缴纳了保险费，而乙方因为各种原因保险单未及时出具，乙方将根据本协议内容对甲方承担保险责任。</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甲方有权根据自身实际情况及保险公司服务特点划分具体标的的投保公司（包括但不限于险种划分、区域划分、保费规模划分），乙方按照协议条件给与承保。</w:t>
      </w:r>
    </w:p>
    <w:p>
      <w:p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七、乙方服务约定</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详见附件1：</w:t>
      </w:r>
      <w:r>
        <w:rPr>
          <w:rFonts w:hint="eastAsia" w:ascii="宋体" w:hAnsi="宋体" w:cs="宋体"/>
          <w:bCs/>
          <w:color w:val="auto"/>
          <w:sz w:val="24"/>
          <w:szCs w:val="24"/>
        </w:rPr>
        <w:t>保单明细和保险条款</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详见附件2：保险理赔服务约定</w:t>
      </w:r>
    </w:p>
    <w:p>
      <w:pPr>
        <w:adjustRightInd w:val="0"/>
        <w:snapToGrid w:val="0"/>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八、</w:t>
      </w:r>
      <w:r>
        <w:rPr>
          <w:rFonts w:hint="eastAsia" w:ascii="宋体" w:hAnsi="宋体" w:cs="宋体"/>
          <w:b/>
          <w:color w:val="auto"/>
          <w:sz w:val="24"/>
          <w:szCs w:val="24"/>
        </w:rPr>
        <w:t>履约保证条款</w:t>
      </w:r>
    </w:p>
    <w:p>
      <w:pPr>
        <w:ind w:firstLine="480" w:firstLineChars="200"/>
        <w:rPr>
          <w:rFonts w:ascii="宋体" w:hAnsi="宋体" w:cs="宋体"/>
          <w:color w:val="auto"/>
          <w:kern w:val="0"/>
          <w:sz w:val="24"/>
          <w:szCs w:val="24"/>
          <w:highlight w:val="yellow"/>
        </w:rPr>
      </w:pPr>
      <w:r>
        <w:rPr>
          <w:rFonts w:hint="eastAsia" w:ascii="宋体" w:hAnsi="宋体" w:cs="宋体"/>
          <w:color w:val="auto"/>
          <w:kern w:val="0"/>
          <w:sz w:val="24"/>
          <w:szCs w:val="24"/>
        </w:rPr>
        <w:t>1、乙方同意，在本协议签署前向甲方缴纳履约保证金，金额为RMB10万元。如乙方未能履行本协议中约定的服务条款，甲方有权从履约保证金中取得补偿。</w:t>
      </w:r>
      <w:r>
        <w:rPr>
          <w:rFonts w:hint="eastAsia" w:ascii="宋体" w:hAnsi="宋体" w:cs="宋体"/>
          <w:color w:val="auto"/>
          <w:sz w:val="24"/>
          <w:szCs w:val="24"/>
        </w:rPr>
        <w:t>账号：           开户行：</w:t>
      </w:r>
    </w:p>
    <w:p>
      <w:pPr>
        <w:ind w:firstLine="480" w:firstLineChars="200"/>
        <w:rPr>
          <w:rFonts w:ascii="宋体" w:hAnsi="宋体" w:cs="宋体"/>
          <w:color w:val="auto"/>
          <w:kern w:val="0"/>
          <w:sz w:val="24"/>
          <w:szCs w:val="24"/>
        </w:rPr>
      </w:pPr>
      <w:r>
        <w:rPr>
          <w:rFonts w:hint="eastAsia" w:ascii="宋体" w:hAnsi="宋体" w:cs="宋体"/>
          <w:color w:val="auto"/>
          <w:kern w:val="0"/>
          <w:sz w:val="24"/>
          <w:szCs w:val="24"/>
        </w:rPr>
        <w:t>2、乙方在任何情况下都不得向甲方被保险单位及其经办人提供任何形式的回扣，一经发现，甲方可立即全面终止合同的执行，并没收履约保证金，同时提请有关部门追究有关当事人的责任。</w:t>
      </w:r>
    </w:p>
    <w:p>
      <w:pPr>
        <w:ind w:firstLine="480" w:firstLineChars="200"/>
        <w:rPr>
          <w:rFonts w:ascii="宋体" w:hAnsi="宋体" w:cs="宋体"/>
          <w:color w:val="auto"/>
          <w:sz w:val="24"/>
          <w:szCs w:val="24"/>
        </w:rPr>
      </w:pPr>
      <w:r>
        <w:rPr>
          <w:rFonts w:hint="eastAsia" w:ascii="宋体" w:hAnsi="宋体" w:cs="宋体"/>
          <w:color w:val="auto"/>
          <w:kern w:val="0"/>
          <w:sz w:val="24"/>
          <w:szCs w:val="24"/>
        </w:rPr>
        <w:t>3、履约保证金在本协议有效期期满并且双方对未决案件达成赔付意向后五个工作日内退还给乙方，不计利息。</w:t>
      </w:r>
    </w:p>
    <w:p>
      <w:p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九、一般条款</w:t>
      </w:r>
    </w:p>
    <w:p>
      <w:pPr>
        <w:pStyle w:val="9"/>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（一）协议有效期及考评要求</w:t>
      </w:r>
    </w:p>
    <w:p>
      <w:pPr>
        <w:pStyle w:val="9"/>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本协议有效期1年，自2020年4月1日起至2021年3月31日止。</w:t>
      </w:r>
    </w:p>
    <w:p>
      <w:pPr>
        <w:pStyle w:val="9"/>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协议在保险有效期内持续有效，如果保险期限结束或变更终止后，存在遗留问题，本协议将继续有效，直至保险单涉及的各项遗留事宜最终处理完毕时为止。甲方有权在每年合同终止一个月前，对乙方在服务期限内引入服务考核机制，对服务情况进行评价，考评内容主要包括以下方面：日常服务、理赔时效、服务满意度等方面，考核结果用于次年续保时承保资格和份额的分配依据，考核80分（含）以上的，保留次年续保资格，并且维持上年承保份额；考核60（含）-80分的，保留承保资格，承保份额做相应减少；考核分数60分以下的，取消承保资格。乙方无条件服从甲方上述安排。</w:t>
      </w:r>
    </w:p>
    <w:p>
      <w:pPr>
        <w:pStyle w:val="9"/>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乙方同意按照评标时的承诺标准及方式向甲方支付防灾防损费用，并保证在保费到账后一个月内将该费用支付与甲方</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（二）协议的变更、解除</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本协议如有未尽事宜，经甲方和乙方协商后可随时以书面形式修改或补充，并作为本协议的组成部分。修改或补充部分的效力优于本协议相关内容。</w:t>
      </w:r>
    </w:p>
    <w:p>
      <w:pPr>
        <w:pStyle w:val="9"/>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如需解除本协议的，甲方可随时书面通知乙方终止本协议，并注销保单；乙方不得单方面终止本协议或注销保单。</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在保险单中载明的保险责任起始日前，甲方或投保人要求解除本协议并注销保单的，乙方不得向投保人收取手续费并应退还已收取的保险费；在保险责任开始后，甲方或投保人要求解除本协议并注销保单的，乙方按照日比例计收保险责任开始之日起至合同解除之日止期间的保险费，并退还剩余部分保险费。</w:t>
      </w:r>
    </w:p>
    <w:p>
      <w:pPr>
        <w:pStyle w:val="9"/>
        <w:spacing w:line="360" w:lineRule="auto"/>
        <w:rPr>
          <w:rFonts w:ascii="宋体" w:hAnsi="宋体" w:cs="宋体"/>
          <w:color w:val="auto"/>
          <w:sz w:val="24"/>
          <w:szCs w:val="24"/>
        </w:rPr>
      </w:pPr>
      <w:r>
        <w:rPr>
          <w:rFonts w:hint="eastAsia" w:ascii="宋体" w:hAnsi="宋体" w:cs="宋体"/>
          <w:color w:val="auto"/>
          <w:sz w:val="24"/>
          <w:szCs w:val="24"/>
        </w:rPr>
        <w:t>（三）保密条款</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除非下列情况，自本协议生效之日起，甲、乙双方不得将本协议涉及的所有有形、无形的信息及资料（包括但不限于双方的往来书面文字文件、电子邮件及信息、U盘资料等）泄露给第三方：</w:t>
      </w:r>
    </w:p>
    <w:p>
      <w:pPr>
        <w:spacing w:line="360" w:lineRule="auto"/>
        <w:ind w:firstLine="480" w:firstLineChars="200"/>
        <w:rPr>
          <w:rFonts w:ascii="宋体" w:hAnsi="宋体" w:cs="宋体"/>
          <w:b/>
          <w:color w:val="auto"/>
          <w:sz w:val="24"/>
          <w:szCs w:val="24"/>
        </w:rPr>
      </w:pPr>
      <w:r>
        <w:rPr>
          <w:rFonts w:hint="eastAsia" w:ascii="宋体" w:hAnsi="宋体" w:cs="宋体"/>
          <w:color w:val="auto"/>
          <w:sz w:val="24"/>
          <w:szCs w:val="24"/>
        </w:rPr>
        <w:t>1、告诉作为执行本协议而提供相关服务的雇员或顾问，但应同时要求对方遵守本协议项下保密义务。</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2、应法律或司法管辖要求而提供。</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3、经甲方和乙方书面同意。</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本协议一方因过错造成泄密而给另一方造成损失（损失是指直接和间接损失，包括但不限于守约方因追索该损失而产生的诉讼费、律师费等）的，过错一方承担经济赔偿责任。</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本协议终止时本保密条款继续有效。</w:t>
      </w:r>
    </w:p>
    <w:p>
      <w:pPr>
        <w:pStyle w:val="9"/>
        <w:spacing w:line="360" w:lineRule="auto"/>
        <w:rPr>
          <w:rFonts w:ascii="宋体" w:hAnsi="宋体" w:cs="宋体"/>
          <w:color w:val="auto"/>
          <w:sz w:val="24"/>
          <w:szCs w:val="24"/>
        </w:rPr>
      </w:pPr>
      <w:r>
        <w:rPr>
          <w:rFonts w:hint="eastAsia" w:ascii="宋体" w:hAnsi="宋体" w:cs="宋体"/>
          <w:color w:val="auto"/>
          <w:sz w:val="24"/>
          <w:szCs w:val="24"/>
        </w:rPr>
        <w:t>（四）法律责任</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由于本协议一方当事人的违约，造成本协议不能履行或者不能完全履行的，守约方有权解除合同，要求违约方按合同金额的1%支付违约金，同时要求违约方承担超出违约金部分的损失（损失是指直接和间接损失，包括但不限于守约方因追索该损失而产生的诉讼费、律师费等）；如属双方当事人均违约的，则根据双方当事人违约的实际情况，由双方当事人分别承担各自应负的违约责任；</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若发生违约情形，违约方依法依约承担其相应法律责任后，除非守约方同意终止本协议的，本协议仍须继续履行。</w:t>
      </w:r>
    </w:p>
    <w:p>
      <w:p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十、争议解决</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甲、乙双方之间的一切有关本协议的争议应通过友好协商解决。如果协商不成，依法向甲方所在地人民法院起诉。</w:t>
      </w:r>
    </w:p>
    <w:p>
      <w:p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十一、通知条款</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1、本协议项下任何通知，在采用其它快捷方式外，应同时采用以下方式之一：</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（1）自行或委托他人直接送交；</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（2）采用特快专递、挂号信函、传真、电报、电传等书面形式。</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2、本协议项下各方通讯地址：</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甲方名称: 福建省宁德市汽车运输集团有限公司</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通讯地址：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传真：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乙方名称：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通讯地址：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传真：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 3、本协议任何一方的联系方法发生变化，应在7个工作日内通知另一方。</w:t>
      </w:r>
    </w:p>
    <w:p>
      <w:p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十二、其他</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1、乙方按本协议出具的正式保险单作为本协议的有效组成部分，保险单与本协议冲突之处，以本协议内容为准，甲乙双方另有明确约定的情况除外。</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2、本协议一式贰份，甲、乙双方各执壹份。</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协议附件：</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1、保险单明细及保险条款</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2、保险理赔服务约定</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甲方：</w:t>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 xml:space="preserve">             乙方：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（盖章）                             （盖章）</w:t>
      </w:r>
    </w:p>
    <w:p>
      <w:pPr>
        <w:spacing w:line="360" w:lineRule="auto"/>
        <w:ind w:firstLine="480" w:firstLineChars="200"/>
        <w:rPr>
          <w:rFonts w:ascii="宋体" w:hAnsi="宋体" w:cs="宋体"/>
          <w:b/>
          <w:bCs/>
          <w:color w:val="auto"/>
          <w:sz w:val="24"/>
          <w:szCs w:val="24"/>
        </w:rPr>
      </w:pPr>
      <w:r>
        <w:rPr>
          <w:rFonts w:hint="eastAsia" w:ascii="宋体" w:hAnsi="宋体" w:cs="宋体"/>
          <w:color w:val="auto"/>
          <w:sz w:val="24"/>
          <w:szCs w:val="24"/>
        </w:rPr>
        <w:t>年    月    日</w:t>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 xml:space="preserve">         </w:t>
      </w:r>
      <w:r>
        <w:rPr>
          <w:rFonts w:hint="eastAsia" w:ascii="宋体" w:hAnsi="宋体" w:cs="宋体"/>
          <w:color w:val="auto"/>
          <w:sz w:val="24"/>
          <w:szCs w:val="24"/>
        </w:rPr>
        <w:tab/>
      </w:r>
      <w:r>
        <w:rPr>
          <w:rFonts w:hint="eastAsia" w:ascii="宋体" w:hAnsi="宋体" w:cs="宋体"/>
          <w:color w:val="auto"/>
          <w:sz w:val="24"/>
          <w:szCs w:val="24"/>
        </w:rPr>
        <w:t>年  月   日</w:t>
      </w:r>
    </w:p>
    <w:p>
      <w:pPr>
        <w:spacing w:line="360" w:lineRule="auto"/>
        <w:rPr>
          <w:rFonts w:ascii="宋体" w:hAnsi="宋体" w:cs="宋体"/>
          <w:color w:val="auto"/>
          <w:sz w:val="24"/>
          <w:szCs w:val="24"/>
        </w:rPr>
      </w:pPr>
      <w:r>
        <w:rPr>
          <w:rFonts w:hint="eastAsia" w:ascii="宋体" w:hAnsi="宋体" w:cs="宋体"/>
          <w:color w:val="auto"/>
          <w:sz w:val="24"/>
          <w:szCs w:val="24"/>
        </w:rPr>
        <w:br w:type="page"/>
      </w:r>
      <w:bookmarkStart w:id="40" w:name="_Toc510016673"/>
      <w:r>
        <w:rPr>
          <w:rFonts w:hint="eastAsia" w:ascii="宋体" w:hAnsi="宋体" w:cs="宋体"/>
          <w:b/>
          <w:bCs/>
          <w:color w:val="auto"/>
          <w:sz w:val="24"/>
          <w:szCs w:val="24"/>
        </w:rPr>
        <w:t>附件1 保单明细和保险条款</w:t>
      </w:r>
      <w:bookmarkEnd w:id="40"/>
    </w:p>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保险险种1：机动车辆保险条款和费率</w:t>
      </w:r>
    </w:p>
    <w:p>
      <w:pPr>
        <w:spacing w:line="360" w:lineRule="auto"/>
        <w:rPr>
          <w:rFonts w:ascii="宋体" w:hAnsi="宋体" w:cs="宋体"/>
          <w:color w:val="auto"/>
          <w:sz w:val="24"/>
          <w:szCs w:val="24"/>
        </w:rPr>
      </w:pPr>
      <w:r>
        <w:rPr>
          <w:rFonts w:hint="eastAsia" w:ascii="宋体" w:hAnsi="宋体" w:cs="宋体"/>
          <w:color w:val="auto"/>
          <w:sz w:val="24"/>
          <w:szCs w:val="24"/>
        </w:rPr>
        <w:t>一、投保人名称及地址</w:t>
      </w:r>
    </w:p>
    <w:p>
      <w:pPr>
        <w:spacing w:line="360" w:lineRule="auto"/>
        <w:rPr>
          <w:rFonts w:ascii="宋体" w:hAnsi="宋体" w:cs="宋体"/>
          <w:color w:val="auto"/>
          <w:sz w:val="24"/>
          <w:szCs w:val="24"/>
        </w:rPr>
      </w:pPr>
      <w:r>
        <w:rPr>
          <w:rFonts w:hint="eastAsia" w:ascii="宋体" w:hAnsi="宋体" w:cs="宋体"/>
          <w:color w:val="auto"/>
          <w:sz w:val="24"/>
          <w:szCs w:val="24"/>
        </w:rPr>
        <w:t>投保人名称：福建省宁德市汽车运输集团有限公司</w:t>
      </w:r>
    </w:p>
    <w:p>
      <w:pPr>
        <w:spacing w:line="360" w:lineRule="auto"/>
        <w:rPr>
          <w:rFonts w:ascii="宋体" w:hAnsi="宋体" w:cs="宋体"/>
          <w:color w:val="auto"/>
          <w:sz w:val="24"/>
          <w:szCs w:val="24"/>
        </w:rPr>
      </w:pPr>
      <w:r>
        <w:rPr>
          <w:rFonts w:hint="eastAsia" w:ascii="宋体" w:hAnsi="宋体" w:cs="宋体"/>
          <w:color w:val="auto"/>
          <w:sz w:val="24"/>
          <w:szCs w:val="24"/>
        </w:rPr>
        <w:t xml:space="preserve">投保人地址： </w:t>
      </w:r>
    </w:p>
    <w:p>
      <w:pPr>
        <w:spacing w:line="360" w:lineRule="auto"/>
        <w:rPr>
          <w:rFonts w:ascii="宋体" w:hAnsi="宋体" w:cs="宋体"/>
          <w:color w:val="auto"/>
          <w:sz w:val="24"/>
          <w:szCs w:val="24"/>
        </w:rPr>
      </w:pPr>
      <w:r>
        <w:rPr>
          <w:rFonts w:hint="eastAsia" w:ascii="宋体" w:hAnsi="宋体" w:cs="宋体"/>
          <w:color w:val="auto"/>
          <w:sz w:val="24"/>
          <w:szCs w:val="24"/>
        </w:rPr>
        <w:t>二、被保险人名称</w:t>
      </w:r>
    </w:p>
    <w:p>
      <w:pPr>
        <w:spacing w:line="360" w:lineRule="auto"/>
        <w:rPr>
          <w:rFonts w:ascii="宋体" w:hAnsi="宋体" w:cs="宋体"/>
          <w:color w:val="auto"/>
          <w:sz w:val="24"/>
          <w:szCs w:val="24"/>
        </w:rPr>
      </w:pPr>
      <w:r>
        <w:rPr>
          <w:rFonts w:hint="eastAsia" w:ascii="宋体" w:hAnsi="宋体" w:cs="宋体"/>
          <w:color w:val="auto"/>
          <w:sz w:val="24"/>
          <w:szCs w:val="24"/>
        </w:rPr>
        <w:t>被保险人名称：福建省宁德市汽车运输集团有限公司</w:t>
      </w:r>
    </w:p>
    <w:p>
      <w:pPr>
        <w:spacing w:line="360" w:lineRule="auto"/>
        <w:rPr>
          <w:rFonts w:ascii="宋体" w:hAnsi="宋体" w:cs="宋体"/>
          <w:color w:val="auto"/>
          <w:sz w:val="24"/>
          <w:szCs w:val="24"/>
        </w:rPr>
      </w:pPr>
      <w:r>
        <w:rPr>
          <w:rFonts w:hint="eastAsia" w:ascii="宋体" w:hAnsi="宋体" w:cs="宋体"/>
          <w:color w:val="auto"/>
          <w:sz w:val="24"/>
          <w:szCs w:val="24"/>
        </w:rPr>
        <w:t xml:space="preserve">被保险人地址： </w:t>
      </w:r>
    </w:p>
    <w:p>
      <w:pPr>
        <w:numPr>
          <w:ilvl w:val="0"/>
          <w:numId w:val="14"/>
        </w:numPr>
        <w:spacing w:line="360" w:lineRule="auto"/>
        <w:rPr>
          <w:rFonts w:ascii="宋体" w:hAnsi="宋体" w:cs="宋体"/>
          <w:color w:val="auto"/>
          <w:sz w:val="24"/>
          <w:szCs w:val="24"/>
        </w:rPr>
      </w:pPr>
      <w:r>
        <w:rPr>
          <w:rFonts w:hint="eastAsia" w:ascii="宋体" w:hAnsi="宋体" w:cs="宋体"/>
          <w:color w:val="auto"/>
          <w:sz w:val="24"/>
          <w:szCs w:val="24"/>
        </w:rPr>
        <w:t>投保车辆：实际投保车辆以被保险人提供的清单为准；</w:t>
      </w:r>
    </w:p>
    <w:p>
      <w:pPr>
        <w:spacing w:line="360" w:lineRule="auto"/>
        <w:rPr>
          <w:rFonts w:ascii="宋体" w:hAnsi="宋体" w:cs="宋体"/>
          <w:color w:val="auto"/>
          <w:sz w:val="24"/>
          <w:szCs w:val="24"/>
        </w:rPr>
      </w:pPr>
      <w:r>
        <w:rPr>
          <w:rFonts w:hint="eastAsia" w:ascii="宋体" w:hAnsi="宋体" w:cs="宋体"/>
          <w:color w:val="auto"/>
          <w:sz w:val="24"/>
          <w:szCs w:val="24"/>
        </w:rPr>
        <w:t>四、保险险种及赔偿限额</w:t>
      </w:r>
    </w:p>
    <w:tbl>
      <w:tblPr>
        <w:tblStyle w:val="37"/>
        <w:tblW w:w="0" w:type="auto"/>
        <w:tblInd w:w="0" w:type="dxa"/>
        <w:tblLayout w:type="fixed"/>
        <w:tblCellMar>
          <w:top w:w="0" w:type="dxa"/>
          <w:left w:w="108" w:type="dxa"/>
          <w:bottom w:w="0" w:type="dxa"/>
          <w:right w:w="108" w:type="dxa"/>
        </w:tblCellMar>
      </w:tblPr>
      <w:tblGrid>
        <w:gridCol w:w="952"/>
        <w:gridCol w:w="1359"/>
        <w:gridCol w:w="2992"/>
        <w:gridCol w:w="2993"/>
      </w:tblGrid>
      <w:tr>
        <w:tblPrEx>
          <w:tblCellMar>
            <w:top w:w="0" w:type="dxa"/>
            <w:left w:w="108" w:type="dxa"/>
            <w:bottom w:w="0" w:type="dxa"/>
            <w:right w:w="108" w:type="dxa"/>
          </w:tblCellMar>
        </w:tblPrEx>
        <w:tc>
          <w:tcPr>
            <w:tcW w:w="231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险种</w:t>
            </w:r>
          </w:p>
        </w:tc>
        <w:tc>
          <w:tcPr>
            <w:tcW w:w="2992"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sz w:val="24"/>
                <w:szCs w:val="24"/>
              </w:rPr>
            </w:pPr>
            <w:r>
              <w:rPr>
                <w:rFonts w:hint="eastAsia" w:ascii="宋体" w:hAnsi="宋体" w:cs="宋体"/>
                <w:color w:val="auto"/>
                <w:sz w:val="24"/>
                <w:szCs w:val="24"/>
              </w:rPr>
              <w:t>保险金额/责任限额</w:t>
            </w:r>
          </w:p>
        </w:tc>
        <w:tc>
          <w:tcPr>
            <w:tcW w:w="2993" w:type="dxa"/>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szCs w:val="24"/>
              </w:rPr>
            </w:pPr>
            <w:r>
              <w:rPr>
                <w:rFonts w:hint="eastAsia" w:ascii="宋体" w:hAnsi="宋体" w:cs="宋体"/>
                <w:color w:val="auto"/>
                <w:sz w:val="24"/>
                <w:szCs w:val="24"/>
              </w:rPr>
              <w:t>适用车辆</w:t>
            </w:r>
          </w:p>
        </w:tc>
      </w:tr>
      <w:tr>
        <w:tblPrEx>
          <w:tblCellMar>
            <w:top w:w="0" w:type="dxa"/>
            <w:left w:w="108" w:type="dxa"/>
            <w:bottom w:w="0" w:type="dxa"/>
            <w:right w:w="108" w:type="dxa"/>
          </w:tblCellMar>
        </w:tblPrEx>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rPr>
            </w:pPr>
            <w:r>
              <w:rPr>
                <w:rFonts w:hint="eastAsia" w:ascii="宋体" w:hAnsi="宋体" w:cs="宋体"/>
                <w:color w:val="auto"/>
                <w:sz w:val="24"/>
                <w:szCs w:val="24"/>
              </w:rPr>
              <w:t>强制险</w:t>
            </w:r>
          </w:p>
        </w:tc>
        <w:tc>
          <w:tcPr>
            <w:tcW w:w="1359"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sz w:val="24"/>
                <w:szCs w:val="24"/>
              </w:rPr>
            </w:pPr>
            <w:r>
              <w:rPr>
                <w:rFonts w:hint="eastAsia" w:ascii="宋体" w:hAnsi="宋体" w:cs="宋体"/>
                <w:color w:val="auto"/>
                <w:sz w:val="24"/>
                <w:szCs w:val="24"/>
              </w:rPr>
              <w:t>交强险</w:t>
            </w:r>
          </w:p>
        </w:tc>
        <w:tc>
          <w:tcPr>
            <w:tcW w:w="5985" w:type="dxa"/>
            <w:gridSpan w:val="2"/>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sz w:val="24"/>
                <w:szCs w:val="24"/>
              </w:rPr>
            </w:pPr>
            <w:r>
              <w:rPr>
                <w:rFonts w:hint="eastAsia" w:ascii="宋体" w:hAnsi="宋体" w:cs="宋体"/>
                <w:color w:val="auto"/>
                <w:sz w:val="24"/>
                <w:szCs w:val="24"/>
              </w:rPr>
              <w:t>按法定投保</w:t>
            </w:r>
          </w:p>
        </w:tc>
      </w:tr>
      <w:tr>
        <w:tblPrEx>
          <w:tblCellMar>
            <w:top w:w="0" w:type="dxa"/>
            <w:left w:w="108" w:type="dxa"/>
            <w:bottom w:w="0" w:type="dxa"/>
            <w:right w:w="108" w:type="dxa"/>
          </w:tblCellMar>
        </w:tblPrEx>
        <w:trPr>
          <w:trHeight w:val="623" w:hRule="atLeast"/>
        </w:trPr>
        <w:tc>
          <w:tcPr>
            <w:tcW w:w="952" w:type="dxa"/>
            <w:vMerge w:val="restart"/>
            <w:tcBorders>
              <w:top w:val="nil"/>
              <w:left w:val="single" w:color="auto" w:sz="4" w:space="0"/>
              <w:right w:val="single" w:color="auto" w:sz="4" w:space="0"/>
            </w:tcBorders>
            <w:vAlign w:val="center"/>
          </w:tcPr>
          <w:p>
            <w:pPr>
              <w:spacing w:line="360" w:lineRule="auto"/>
              <w:rPr>
                <w:rFonts w:ascii="宋体" w:hAnsi="宋体" w:cs="宋体"/>
                <w:color w:val="auto"/>
                <w:sz w:val="24"/>
                <w:szCs w:val="24"/>
              </w:rPr>
            </w:pPr>
            <w:r>
              <w:rPr>
                <w:rFonts w:hint="eastAsia" w:ascii="宋体" w:hAnsi="宋体" w:cs="宋体"/>
                <w:color w:val="auto"/>
                <w:sz w:val="24"/>
                <w:szCs w:val="24"/>
              </w:rPr>
              <w:t>商业险</w:t>
            </w:r>
          </w:p>
        </w:tc>
        <w:tc>
          <w:tcPr>
            <w:tcW w:w="1359" w:type="dxa"/>
            <w:vMerge w:val="restart"/>
            <w:tcBorders>
              <w:top w:val="single" w:color="auto" w:sz="4" w:space="0"/>
              <w:left w:val="nil"/>
              <w:right w:val="single" w:color="auto" w:sz="4" w:space="0"/>
            </w:tcBorders>
            <w:vAlign w:val="center"/>
          </w:tcPr>
          <w:p>
            <w:pPr>
              <w:spacing w:line="360" w:lineRule="auto"/>
              <w:rPr>
                <w:rFonts w:ascii="宋体" w:hAnsi="宋体" w:cs="宋体"/>
                <w:color w:val="auto"/>
                <w:sz w:val="24"/>
                <w:szCs w:val="24"/>
              </w:rPr>
            </w:pPr>
            <w:r>
              <w:rPr>
                <w:rFonts w:hint="eastAsia" w:ascii="宋体" w:hAnsi="宋体" w:cs="宋体"/>
                <w:color w:val="auto"/>
                <w:sz w:val="24"/>
                <w:szCs w:val="24"/>
              </w:rPr>
              <w:t>第三者责任险</w:t>
            </w:r>
          </w:p>
        </w:tc>
        <w:tc>
          <w:tcPr>
            <w:tcW w:w="2992" w:type="dxa"/>
            <w:vMerge w:val="restart"/>
            <w:tcBorders>
              <w:top w:val="single" w:color="auto" w:sz="4" w:space="0"/>
              <w:left w:val="nil"/>
              <w:right w:val="single" w:color="auto" w:sz="4" w:space="0"/>
            </w:tcBorders>
            <w:vAlign w:val="center"/>
          </w:tcPr>
          <w:p>
            <w:pPr>
              <w:spacing w:line="360" w:lineRule="auto"/>
              <w:rPr>
                <w:rFonts w:ascii="宋体" w:hAnsi="宋体" w:cs="宋体"/>
                <w:color w:val="auto"/>
                <w:sz w:val="24"/>
                <w:szCs w:val="24"/>
              </w:rPr>
            </w:pPr>
            <w:r>
              <w:rPr>
                <w:rFonts w:hint="eastAsia" w:ascii="宋体" w:hAnsi="宋体" w:cs="宋体"/>
                <w:color w:val="auto"/>
                <w:sz w:val="24"/>
                <w:szCs w:val="24"/>
              </w:rPr>
              <w:t>保额100万元-300万元</w:t>
            </w:r>
          </w:p>
        </w:tc>
        <w:tc>
          <w:tcPr>
            <w:tcW w:w="2993" w:type="dxa"/>
            <w:tcBorders>
              <w:top w:val="single" w:color="auto" w:sz="4" w:space="0"/>
              <w:left w:val="nil"/>
              <w:bottom w:val="single" w:color="auto" w:sz="4" w:space="0"/>
              <w:right w:val="single" w:color="auto" w:sz="4" w:space="0"/>
            </w:tcBorders>
            <w:vAlign w:val="center"/>
          </w:tcPr>
          <w:p>
            <w:pPr>
              <w:rPr>
                <w:rFonts w:ascii="宋体" w:hAnsi="宋体" w:cs="宋体"/>
                <w:color w:val="auto"/>
                <w:sz w:val="24"/>
                <w:szCs w:val="24"/>
              </w:rPr>
            </w:pPr>
            <w:r>
              <w:rPr>
                <w:rFonts w:hint="eastAsia" w:ascii="宋体" w:hAnsi="宋体" w:cs="宋体"/>
                <w:color w:val="auto"/>
                <w:sz w:val="24"/>
                <w:szCs w:val="24"/>
              </w:rPr>
              <w:t>公务车辆、出租车辆</w:t>
            </w:r>
          </w:p>
        </w:tc>
      </w:tr>
      <w:tr>
        <w:tblPrEx>
          <w:tblCellMar>
            <w:top w:w="0" w:type="dxa"/>
            <w:left w:w="108" w:type="dxa"/>
            <w:bottom w:w="0" w:type="dxa"/>
            <w:right w:w="108" w:type="dxa"/>
          </w:tblCellMar>
        </w:tblPrEx>
        <w:trPr>
          <w:trHeight w:val="622" w:hRule="atLeast"/>
        </w:trPr>
        <w:tc>
          <w:tcPr>
            <w:tcW w:w="952" w:type="dxa"/>
            <w:vMerge w:val="continue"/>
            <w:tcBorders>
              <w:left w:val="single" w:color="auto" w:sz="4" w:space="0"/>
              <w:right w:val="single" w:color="auto" w:sz="4" w:space="0"/>
            </w:tcBorders>
            <w:vAlign w:val="center"/>
          </w:tcPr>
          <w:p>
            <w:pPr>
              <w:spacing w:line="360" w:lineRule="auto"/>
              <w:rPr>
                <w:rFonts w:ascii="宋体" w:hAnsi="宋体" w:cs="宋体"/>
                <w:color w:val="auto"/>
                <w:sz w:val="24"/>
                <w:szCs w:val="24"/>
              </w:rPr>
            </w:pPr>
          </w:p>
        </w:tc>
        <w:tc>
          <w:tcPr>
            <w:tcW w:w="1359" w:type="dxa"/>
            <w:vMerge w:val="continue"/>
            <w:tcBorders>
              <w:left w:val="nil"/>
              <w:bottom w:val="single" w:color="auto" w:sz="4" w:space="0"/>
              <w:right w:val="single" w:color="auto" w:sz="4" w:space="0"/>
            </w:tcBorders>
            <w:vAlign w:val="center"/>
          </w:tcPr>
          <w:p>
            <w:pPr>
              <w:spacing w:line="360" w:lineRule="auto"/>
              <w:rPr>
                <w:rFonts w:ascii="宋体" w:hAnsi="宋体" w:cs="宋体"/>
                <w:color w:val="auto"/>
                <w:sz w:val="24"/>
                <w:szCs w:val="24"/>
              </w:rPr>
            </w:pPr>
          </w:p>
        </w:tc>
        <w:tc>
          <w:tcPr>
            <w:tcW w:w="2992" w:type="dxa"/>
            <w:vMerge w:val="continue"/>
            <w:tcBorders>
              <w:left w:val="nil"/>
              <w:bottom w:val="single" w:color="auto" w:sz="4" w:space="0"/>
              <w:right w:val="single" w:color="auto" w:sz="4" w:space="0"/>
            </w:tcBorders>
            <w:vAlign w:val="center"/>
          </w:tcPr>
          <w:p>
            <w:pPr>
              <w:spacing w:line="360" w:lineRule="auto"/>
              <w:rPr>
                <w:rFonts w:ascii="宋体" w:hAnsi="宋体" w:cs="宋体"/>
                <w:color w:val="auto"/>
                <w:sz w:val="24"/>
                <w:szCs w:val="24"/>
              </w:rPr>
            </w:pPr>
          </w:p>
        </w:tc>
        <w:tc>
          <w:tcPr>
            <w:tcW w:w="2993" w:type="dxa"/>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szCs w:val="24"/>
              </w:rPr>
            </w:pPr>
            <w:r>
              <w:rPr>
                <w:rFonts w:hint="eastAsia" w:ascii="宋体" w:hAnsi="宋体" w:cs="宋体"/>
                <w:color w:val="auto"/>
                <w:sz w:val="24"/>
                <w:szCs w:val="24"/>
              </w:rPr>
              <w:t>其余车辆</w:t>
            </w:r>
          </w:p>
        </w:tc>
      </w:tr>
      <w:tr>
        <w:tblPrEx>
          <w:tblCellMar>
            <w:top w:w="0" w:type="dxa"/>
            <w:left w:w="108" w:type="dxa"/>
            <w:bottom w:w="0" w:type="dxa"/>
            <w:right w:w="108" w:type="dxa"/>
          </w:tblCellMar>
        </w:tblPrEx>
        <w:tc>
          <w:tcPr>
            <w:tcW w:w="952" w:type="dxa"/>
            <w:vMerge w:val="continue"/>
            <w:tcBorders>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rPr>
            </w:pPr>
          </w:p>
        </w:tc>
        <w:tc>
          <w:tcPr>
            <w:tcW w:w="1359"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sz w:val="24"/>
                <w:szCs w:val="24"/>
              </w:rPr>
            </w:pPr>
            <w:r>
              <w:rPr>
                <w:rFonts w:hint="eastAsia" w:ascii="宋体" w:hAnsi="宋体" w:cs="宋体"/>
                <w:color w:val="auto"/>
                <w:sz w:val="24"/>
                <w:szCs w:val="24"/>
              </w:rPr>
              <w:t>不计免赔特约险</w:t>
            </w:r>
          </w:p>
        </w:tc>
        <w:tc>
          <w:tcPr>
            <w:tcW w:w="2992"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sz w:val="24"/>
                <w:szCs w:val="24"/>
              </w:rPr>
            </w:pPr>
            <w:r>
              <w:rPr>
                <w:rFonts w:hint="eastAsia" w:ascii="宋体" w:hAnsi="宋体" w:cs="宋体"/>
                <w:color w:val="auto"/>
                <w:sz w:val="24"/>
                <w:szCs w:val="24"/>
              </w:rPr>
              <w:t>责任范围涵盖第三者责任险</w:t>
            </w:r>
          </w:p>
        </w:tc>
        <w:tc>
          <w:tcPr>
            <w:tcW w:w="2993" w:type="dxa"/>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szCs w:val="24"/>
              </w:rPr>
            </w:pPr>
            <w:r>
              <w:rPr>
                <w:rFonts w:hint="eastAsia" w:ascii="宋体" w:hAnsi="宋体" w:cs="宋体"/>
                <w:color w:val="auto"/>
                <w:sz w:val="24"/>
                <w:szCs w:val="24"/>
              </w:rPr>
              <w:t>全部车辆</w:t>
            </w:r>
          </w:p>
        </w:tc>
      </w:tr>
    </w:tbl>
    <w:p>
      <w:pPr>
        <w:spacing w:line="360" w:lineRule="auto"/>
        <w:rPr>
          <w:rFonts w:ascii="宋体" w:hAnsi="宋体" w:cs="宋体"/>
          <w:color w:val="auto"/>
          <w:sz w:val="24"/>
          <w:szCs w:val="24"/>
        </w:rPr>
      </w:pPr>
      <w:r>
        <w:rPr>
          <w:rFonts w:hint="eastAsia" w:ascii="宋体" w:hAnsi="宋体" w:cs="宋体"/>
          <w:color w:val="auto"/>
          <w:sz w:val="24"/>
          <w:szCs w:val="24"/>
        </w:rPr>
        <w:t xml:space="preserve"> 五、机动车优惠幅度、保险费及计算方法</w:t>
      </w:r>
    </w:p>
    <w:p>
      <w:pPr>
        <w:spacing w:line="360" w:lineRule="auto"/>
        <w:rPr>
          <w:rFonts w:ascii="宋体" w:hAnsi="宋体" w:cs="宋体"/>
          <w:color w:val="auto"/>
          <w:sz w:val="24"/>
          <w:szCs w:val="24"/>
        </w:rPr>
      </w:pPr>
      <w:r>
        <w:rPr>
          <w:rFonts w:hint="eastAsia" w:ascii="宋体" w:hAnsi="宋体" w:cs="宋体"/>
          <w:color w:val="auto"/>
          <w:sz w:val="24"/>
          <w:szCs w:val="24"/>
        </w:rPr>
        <w:t>（一）在中保协及平台规定的标准保费及优惠系数的基础上，给予所投保机动车辆商业险的统一折扣系数</w:t>
      </w:r>
      <w:r>
        <w:rPr>
          <w:rFonts w:hint="eastAsia" w:ascii="宋体" w:hAnsi="宋体" w:cs="宋体"/>
          <w:color w:val="auto"/>
          <w:sz w:val="24"/>
          <w:szCs w:val="24"/>
          <w:u w:val="single"/>
        </w:rPr>
        <w:t xml:space="preserve"> Pn </w:t>
      </w:r>
      <w:r>
        <w:rPr>
          <w:rFonts w:hint="eastAsia" w:ascii="宋体" w:hAnsi="宋体" w:cs="宋体"/>
          <w:color w:val="auto"/>
          <w:sz w:val="24"/>
          <w:szCs w:val="24"/>
        </w:rPr>
        <w:t>；</w:t>
      </w:r>
    </w:p>
    <w:p>
      <w:pPr>
        <w:spacing w:line="360" w:lineRule="auto"/>
        <w:rPr>
          <w:rFonts w:ascii="宋体" w:hAnsi="宋体" w:cs="宋体"/>
          <w:color w:val="auto"/>
          <w:sz w:val="24"/>
          <w:szCs w:val="24"/>
        </w:rPr>
      </w:pPr>
      <w:r>
        <w:rPr>
          <w:rFonts w:hint="eastAsia" w:ascii="宋体" w:hAnsi="宋体" w:cs="宋体"/>
          <w:color w:val="auto"/>
          <w:sz w:val="24"/>
          <w:szCs w:val="24"/>
        </w:rPr>
        <w:t>备注：1、保险费=（纯风险保费/(1-附加费用率））×NCD因子×交通违法系数× Pn。</w:t>
      </w:r>
    </w:p>
    <w:p>
      <w:pPr>
        <w:spacing w:line="360" w:lineRule="auto"/>
        <w:rPr>
          <w:rFonts w:ascii="宋体" w:hAnsi="宋体" w:cs="宋体"/>
          <w:color w:val="auto"/>
          <w:sz w:val="24"/>
          <w:szCs w:val="24"/>
        </w:rPr>
      </w:pPr>
      <w:r>
        <w:rPr>
          <w:rFonts w:hint="eastAsia" w:ascii="宋体" w:hAnsi="宋体" w:cs="宋体"/>
          <w:color w:val="auto"/>
          <w:sz w:val="24"/>
          <w:szCs w:val="24"/>
        </w:rPr>
        <w:t xml:space="preserve"> 2、 Pn=核保系数×渠道系数</w:t>
      </w:r>
    </w:p>
    <w:p>
      <w:pPr>
        <w:spacing w:line="360" w:lineRule="auto"/>
        <w:rPr>
          <w:rFonts w:ascii="宋体" w:hAnsi="宋体" w:cs="宋体"/>
          <w:color w:val="auto"/>
          <w:sz w:val="24"/>
          <w:szCs w:val="24"/>
        </w:rPr>
      </w:pPr>
      <w:r>
        <w:rPr>
          <w:rFonts w:hint="eastAsia" w:ascii="宋体" w:hAnsi="宋体" w:cs="宋体"/>
          <w:color w:val="auto"/>
          <w:sz w:val="24"/>
          <w:szCs w:val="24"/>
        </w:rPr>
        <w:t>（二）保单保险期限为一整年的按年费率计算保险费；保单保险期限不足一年的，按日比例计算保险费。</w:t>
      </w:r>
    </w:p>
    <w:p>
      <w:pPr>
        <w:spacing w:line="360" w:lineRule="auto"/>
        <w:rPr>
          <w:rFonts w:ascii="宋体" w:hAnsi="宋体" w:cs="宋体"/>
          <w:color w:val="auto"/>
          <w:sz w:val="24"/>
          <w:szCs w:val="24"/>
        </w:rPr>
      </w:pPr>
      <w:r>
        <w:rPr>
          <w:rFonts w:hint="eastAsia" w:ascii="宋体" w:hAnsi="宋体" w:cs="宋体"/>
          <w:color w:val="auto"/>
          <w:sz w:val="24"/>
          <w:szCs w:val="24"/>
        </w:rPr>
        <w:t>（三）协议期间甲方若新增投保车辆，乙方按本协议统一优惠比例计算车险保费。</w:t>
      </w:r>
    </w:p>
    <w:p>
      <w:pPr>
        <w:spacing w:line="360" w:lineRule="auto"/>
        <w:rPr>
          <w:rFonts w:ascii="宋体" w:hAnsi="宋体" w:cs="宋体"/>
          <w:color w:val="auto"/>
          <w:sz w:val="24"/>
          <w:szCs w:val="24"/>
        </w:rPr>
      </w:pPr>
      <w:r>
        <w:rPr>
          <w:rFonts w:hint="eastAsia" w:ascii="宋体" w:hAnsi="宋体" w:cs="宋体"/>
          <w:color w:val="auto"/>
          <w:sz w:val="24"/>
          <w:szCs w:val="24"/>
        </w:rPr>
        <w:t>（四）协议期间，若保险行业监管部门出台新的机动车辆保险政策，保险公司承诺在遵守行业规定的前提下给予最优惠的承保条件承保甲方机动车辆。</w:t>
      </w:r>
    </w:p>
    <w:p>
      <w:pPr>
        <w:spacing w:line="360" w:lineRule="auto"/>
        <w:rPr>
          <w:rFonts w:ascii="宋体" w:hAnsi="宋体" w:cs="宋体"/>
          <w:color w:val="auto"/>
          <w:sz w:val="24"/>
          <w:szCs w:val="24"/>
        </w:rPr>
      </w:pPr>
      <w:r>
        <w:rPr>
          <w:rFonts w:hint="eastAsia" w:ascii="宋体" w:hAnsi="宋体" w:cs="宋体"/>
          <w:color w:val="auto"/>
          <w:sz w:val="24"/>
          <w:szCs w:val="24"/>
        </w:rPr>
        <w:t>六、承保细则</w:t>
      </w:r>
    </w:p>
    <w:p>
      <w:pPr>
        <w:spacing w:line="360" w:lineRule="auto"/>
        <w:rPr>
          <w:rFonts w:ascii="宋体" w:hAnsi="宋体" w:cs="宋体"/>
          <w:color w:val="auto"/>
          <w:sz w:val="24"/>
          <w:szCs w:val="24"/>
        </w:rPr>
      </w:pPr>
      <w:r>
        <w:rPr>
          <w:rFonts w:hint="eastAsia" w:ascii="宋体" w:hAnsi="宋体" w:cs="宋体"/>
          <w:color w:val="auto"/>
          <w:sz w:val="24"/>
          <w:szCs w:val="24"/>
        </w:rPr>
        <w:t>（一）保单期限及退保</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1、一年，自按车辆起保之日起；短期单根据投保人实际情况自行确定。</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2、无论甲方出于任何原因可对其车辆进行退保，对中途退保的车辆，无论是否出险，乙方应按实际投保天数计收保费（保费按日比例计算）。</w:t>
      </w:r>
    </w:p>
    <w:p>
      <w:pPr>
        <w:spacing w:line="360" w:lineRule="auto"/>
        <w:rPr>
          <w:rFonts w:ascii="宋体" w:hAnsi="宋体" w:cs="宋体"/>
          <w:color w:val="auto"/>
          <w:sz w:val="24"/>
          <w:szCs w:val="24"/>
        </w:rPr>
      </w:pPr>
      <w:r>
        <w:rPr>
          <w:rFonts w:hint="eastAsia" w:ascii="宋体" w:hAnsi="宋体" w:cs="宋体"/>
          <w:color w:val="auto"/>
          <w:sz w:val="24"/>
          <w:szCs w:val="24"/>
        </w:rPr>
        <w:t>（二）报价及出单</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对于新增车辆及续保业务甲方在乙方提供投保资料后24小时内完成报价。甲方确认并交纳保险费后乙方应即时完成出单工作。</w:t>
      </w:r>
    </w:p>
    <w:p>
      <w:pPr>
        <w:spacing w:line="360" w:lineRule="auto"/>
        <w:rPr>
          <w:rFonts w:ascii="宋体" w:hAnsi="宋体" w:cs="宋体"/>
          <w:color w:val="auto"/>
          <w:sz w:val="24"/>
          <w:szCs w:val="24"/>
        </w:rPr>
      </w:pPr>
      <w:r>
        <w:rPr>
          <w:rFonts w:hint="eastAsia" w:ascii="宋体" w:hAnsi="宋体" w:cs="宋体"/>
          <w:color w:val="auto"/>
          <w:sz w:val="24"/>
          <w:szCs w:val="24"/>
        </w:rPr>
        <w:t>（三）保前验车</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未脱保车辆无需验车。脱保车辆有投保车损险时出单公司可提出验车需求，验车形式为出单公司上门验车或甲方提供的照片作为验车依据。</w:t>
      </w:r>
    </w:p>
    <w:p>
      <w:pPr>
        <w:spacing w:line="360" w:lineRule="auto"/>
        <w:rPr>
          <w:rFonts w:ascii="宋体" w:hAnsi="宋体" w:cs="宋体"/>
          <w:color w:val="auto"/>
          <w:sz w:val="24"/>
          <w:szCs w:val="24"/>
        </w:rPr>
      </w:pPr>
      <w:r>
        <w:rPr>
          <w:rFonts w:hint="eastAsia" w:ascii="宋体" w:hAnsi="宋体" w:cs="宋体"/>
          <w:color w:val="auto"/>
          <w:sz w:val="24"/>
          <w:szCs w:val="24"/>
        </w:rPr>
        <w:t>七、保险协议期限：</w:t>
      </w:r>
    </w:p>
    <w:p>
      <w:pPr>
        <w:spacing w:line="360" w:lineRule="auto"/>
        <w:rPr>
          <w:rFonts w:ascii="宋体" w:hAnsi="宋体" w:cs="宋体"/>
          <w:color w:val="auto"/>
          <w:sz w:val="24"/>
          <w:szCs w:val="24"/>
        </w:rPr>
      </w:pPr>
      <w:r>
        <w:rPr>
          <w:rFonts w:hint="eastAsia" w:ascii="宋体" w:hAnsi="宋体" w:cs="宋体"/>
          <w:color w:val="auto"/>
          <w:sz w:val="24"/>
          <w:szCs w:val="24"/>
        </w:rPr>
        <w:t>本保险协议自签订之日起生效，有效期1年。</w:t>
      </w:r>
    </w:p>
    <w:p>
      <w:pPr>
        <w:spacing w:line="360" w:lineRule="auto"/>
        <w:rPr>
          <w:rFonts w:ascii="宋体" w:hAnsi="宋体" w:cs="宋体"/>
          <w:color w:val="auto"/>
          <w:sz w:val="24"/>
          <w:szCs w:val="24"/>
        </w:rPr>
      </w:pPr>
      <w:r>
        <w:rPr>
          <w:rFonts w:hint="eastAsia" w:ascii="宋体" w:hAnsi="宋体" w:cs="宋体"/>
          <w:color w:val="auto"/>
          <w:sz w:val="24"/>
          <w:szCs w:val="24"/>
        </w:rPr>
        <w:t>八、保险条款与费率</w:t>
      </w:r>
    </w:p>
    <w:p>
      <w:pPr>
        <w:spacing w:line="360" w:lineRule="auto"/>
        <w:rPr>
          <w:rFonts w:ascii="宋体" w:hAnsi="宋体" w:cs="宋体"/>
          <w:color w:val="auto"/>
          <w:sz w:val="24"/>
          <w:szCs w:val="24"/>
        </w:rPr>
      </w:pPr>
      <w:r>
        <w:rPr>
          <w:rFonts w:hint="eastAsia" w:ascii="宋体" w:hAnsi="宋体" w:cs="宋体"/>
          <w:color w:val="auto"/>
          <w:sz w:val="24"/>
          <w:szCs w:val="24"/>
        </w:rPr>
        <w:t xml:space="preserve">   （待乙方提供经中国保险监督管理委员会批准的机动车辆保险条款和费率规章）</w:t>
      </w:r>
    </w:p>
    <w:p>
      <w:pPr>
        <w:spacing w:line="360" w:lineRule="auto"/>
        <w:rPr>
          <w:rFonts w:ascii="宋体" w:hAnsi="宋体" w:cs="宋体"/>
          <w:color w:val="auto"/>
          <w:sz w:val="24"/>
          <w:szCs w:val="24"/>
        </w:rPr>
        <w:sectPr>
          <w:type w:val="nextColumn"/>
          <w:pgSz w:w="11906" w:h="16838"/>
          <w:pgMar w:top="1440" w:right="1800" w:bottom="1440" w:left="1800" w:header="851" w:footer="992" w:gutter="0"/>
          <w:cols w:space="720" w:num="1"/>
          <w:docGrid w:type="lines" w:linePitch="312" w:charSpace="0"/>
        </w:sectPr>
      </w:pPr>
      <w:r>
        <w:rPr>
          <w:rFonts w:hint="eastAsia" w:ascii="宋体" w:hAnsi="宋体" w:cs="宋体"/>
          <w:color w:val="auto"/>
          <w:sz w:val="24"/>
          <w:szCs w:val="24"/>
        </w:rPr>
        <w:t xml:space="preserve"> </w:t>
      </w:r>
    </w:p>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保险险种2、道路客运承运人责任保险</w:t>
      </w:r>
    </w:p>
    <w:p>
      <w:pPr>
        <w:spacing w:line="360" w:lineRule="auto"/>
        <w:rPr>
          <w:rFonts w:ascii="宋体" w:hAnsi="宋体" w:cs="宋体"/>
          <w:color w:val="auto"/>
          <w:sz w:val="24"/>
          <w:szCs w:val="24"/>
        </w:rPr>
      </w:pPr>
      <w:r>
        <w:rPr>
          <w:rFonts w:hint="eastAsia" w:ascii="宋体" w:hAnsi="宋体" w:cs="宋体"/>
          <w:color w:val="auto"/>
          <w:sz w:val="24"/>
          <w:szCs w:val="24"/>
        </w:rPr>
        <w:t>一、投保人名称及地址</w:t>
      </w:r>
    </w:p>
    <w:p>
      <w:pPr>
        <w:spacing w:line="360" w:lineRule="auto"/>
        <w:rPr>
          <w:rFonts w:ascii="宋体" w:hAnsi="宋体" w:cs="宋体"/>
          <w:color w:val="auto"/>
          <w:sz w:val="24"/>
          <w:szCs w:val="24"/>
        </w:rPr>
      </w:pPr>
      <w:r>
        <w:rPr>
          <w:rFonts w:hint="eastAsia" w:ascii="宋体" w:hAnsi="宋体" w:cs="宋体"/>
          <w:color w:val="auto"/>
          <w:sz w:val="24"/>
          <w:szCs w:val="24"/>
        </w:rPr>
        <w:t xml:space="preserve">投保人名称：福建省宁德市汽车运输集团有限公司 </w:t>
      </w:r>
    </w:p>
    <w:p>
      <w:pPr>
        <w:spacing w:line="360" w:lineRule="auto"/>
        <w:rPr>
          <w:rFonts w:ascii="宋体" w:hAnsi="宋体" w:cs="宋体"/>
          <w:color w:val="auto"/>
          <w:sz w:val="24"/>
          <w:szCs w:val="24"/>
        </w:rPr>
      </w:pPr>
      <w:r>
        <w:rPr>
          <w:rFonts w:hint="eastAsia" w:ascii="宋体" w:hAnsi="宋体" w:cs="宋体"/>
          <w:color w:val="auto"/>
          <w:sz w:val="24"/>
          <w:szCs w:val="24"/>
        </w:rPr>
        <w:t xml:space="preserve">投保人地址： </w:t>
      </w:r>
    </w:p>
    <w:p>
      <w:pPr>
        <w:spacing w:line="360" w:lineRule="auto"/>
        <w:rPr>
          <w:rFonts w:ascii="宋体" w:hAnsi="宋体" w:cs="宋体"/>
          <w:color w:val="auto"/>
          <w:sz w:val="24"/>
          <w:szCs w:val="24"/>
        </w:rPr>
      </w:pPr>
      <w:r>
        <w:rPr>
          <w:rFonts w:hint="eastAsia" w:ascii="宋体" w:hAnsi="宋体" w:cs="宋体"/>
          <w:color w:val="auto"/>
          <w:sz w:val="24"/>
          <w:szCs w:val="24"/>
        </w:rPr>
        <w:t>二、被保险人名称</w:t>
      </w:r>
    </w:p>
    <w:p>
      <w:pPr>
        <w:spacing w:line="360" w:lineRule="auto"/>
        <w:rPr>
          <w:rFonts w:ascii="宋体" w:hAnsi="宋体" w:cs="宋体"/>
          <w:color w:val="auto"/>
          <w:sz w:val="24"/>
          <w:szCs w:val="24"/>
        </w:rPr>
      </w:pPr>
      <w:r>
        <w:rPr>
          <w:rFonts w:hint="eastAsia" w:ascii="宋体" w:hAnsi="宋体" w:cs="宋体"/>
          <w:color w:val="auto"/>
          <w:sz w:val="24"/>
          <w:szCs w:val="24"/>
        </w:rPr>
        <w:t xml:space="preserve">被保险人名称：福建省宁德市汽车运输集团有限公司 </w:t>
      </w:r>
    </w:p>
    <w:p>
      <w:pPr>
        <w:spacing w:line="360" w:lineRule="auto"/>
        <w:rPr>
          <w:rFonts w:ascii="宋体" w:hAnsi="宋体" w:cs="宋体"/>
          <w:color w:val="auto"/>
          <w:sz w:val="24"/>
          <w:szCs w:val="24"/>
        </w:rPr>
      </w:pPr>
      <w:r>
        <w:rPr>
          <w:rFonts w:hint="eastAsia" w:ascii="宋体" w:hAnsi="宋体" w:cs="宋体"/>
          <w:color w:val="auto"/>
          <w:sz w:val="24"/>
          <w:szCs w:val="24"/>
        </w:rPr>
        <w:t xml:space="preserve">被保险人地址： </w:t>
      </w:r>
    </w:p>
    <w:p>
      <w:pPr>
        <w:spacing w:line="360" w:lineRule="auto"/>
        <w:rPr>
          <w:rFonts w:ascii="宋体" w:hAnsi="宋体" w:cs="宋体"/>
          <w:color w:val="auto"/>
          <w:sz w:val="24"/>
          <w:szCs w:val="24"/>
        </w:rPr>
      </w:pPr>
      <w:r>
        <w:rPr>
          <w:rFonts w:hint="eastAsia" w:ascii="宋体" w:hAnsi="宋体" w:cs="宋体"/>
          <w:color w:val="auto"/>
          <w:sz w:val="24"/>
          <w:szCs w:val="24"/>
        </w:rPr>
        <w:t>三、行驶区域范围：中华人民共和国境内（不含港、澳、台地区）</w:t>
      </w:r>
    </w:p>
    <w:p>
      <w:pPr>
        <w:spacing w:line="360" w:lineRule="auto"/>
        <w:rPr>
          <w:rFonts w:ascii="宋体" w:hAnsi="宋体" w:cs="宋体"/>
          <w:color w:val="auto"/>
          <w:sz w:val="24"/>
          <w:szCs w:val="24"/>
        </w:rPr>
      </w:pPr>
      <w:r>
        <w:rPr>
          <w:rFonts w:hint="eastAsia" w:ascii="宋体" w:hAnsi="宋体" w:cs="宋体"/>
          <w:color w:val="auto"/>
          <w:sz w:val="24"/>
          <w:szCs w:val="24"/>
        </w:rPr>
        <w:t>四、经营性质：以被保险人提供的清单为准</w:t>
      </w:r>
    </w:p>
    <w:p>
      <w:pPr>
        <w:spacing w:line="360" w:lineRule="auto"/>
        <w:rPr>
          <w:rFonts w:ascii="宋体" w:hAnsi="宋体" w:cs="宋体"/>
          <w:color w:val="auto"/>
          <w:sz w:val="24"/>
          <w:szCs w:val="24"/>
        </w:rPr>
      </w:pPr>
      <w:r>
        <w:rPr>
          <w:rFonts w:hint="eastAsia" w:ascii="宋体" w:hAnsi="宋体" w:cs="宋体"/>
          <w:color w:val="auto"/>
          <w:sz w:val="24"/>
          <w:szCs w:val="24"/>
        </w:rPr>
        <w:t>五、投保标的：实际投保车辆以被保险人提供的清单为准</w:t>
      </w:r>
    </w:p>
    <w:p>
      <w:pPr>
        <w:spacing w:line="360" w:lineRule="auto"/>
        <w:rPr>
          <w:rFonts w:ascii="宋体" w:hAnsi="宋体" w:cs="宋体"/>
          <w:color w:val="auto"/>
          <w:sz w:val="24"/>
          <w:szCs w:val="24"/>
        </w:rPr>
      </w:pPr>
      <w:r>
        <w:rPr>
          <w:rFonts w:hint="eastAsia" w:ascii="宋体" w:hAnsi="宋体" w:cs="宋体"/>
          <w:color w:val="auto"/>
          <w:sz w:val="24"/>
          <w:szCs w:val="24"/>
        </w:rPr>
        <w:t>六、赔偿限额：</w:t>
      </w:r>
    </w:p>
    <w:tbl>
      <w:tblPr>
        <w:tblStyle w:val="37"/>
        <w:tblW w:w="0" w:type="auto"/>
        <w:tblInd w:w="288" w:type="dxa"/>
        <w:tblLayout w:type="fixed"/>
        <w:tblCellMar>
          <w:top w:w="0" w:type="dxa"/>
          <w:left w:w="108" w:type="dxa"/>
          <w:bottom w:w="0" w:type="dxa"/>
          <w:right w:w="108" w:type="dxa"/>
        </w:tblCellMar>
      </w:tblPr>
      <w:tblGrid>
        <w:gridCol w:w="2700"/>
        <w:gridCol w:w="2700"/>
        <w:gridCol w:w="2160"/>
      </w:tblGrid>
      <w:tr>
        <w:tblPrEx>
          <w:tblCellMar>
            <w:top w:w="0" w:type="dxa"/>
            <w:left w:w="108" w:type="dxa"/>
            <w:bottom w:w="0" w:type="dxa"/>
            <w:right w:w="108" w:type="dxa"/>
          </w:tblCellMar>
        </w:tblPrEx>
        <w:trPr>
          <w:trHeight w:val="465" w:hRule="atLeast"/>
        </w:trPr>
        <w:tc>
          <w:tcPr>
            <w:tcW w:w="27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 w:val="24"/>
                <w:szCs w:val="24"/>
              </w:rPr>
            </w:pPr>
            <w:r>
              <w:rPr>
                <w:rFonts w:hint="eastAsia" w:ascii="宋体" w:hAnsi="宋体" w:cs="宋体"/>
                <w:color w:val="auto"/>
                <w:sz w:val="24"/>
                <w:szCs w:val="24"/>
              </w:rPr>
              <w:t>每座位赔偿限额</w:t>
            </w:r>
          </w:p>
        </w:tc>
        <w:tc>
          <w:tcPr>
            <w:tcW w:w="2700" w:type="dxa"/>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szCs w:val="24"/>
              </w:rPr>
            </w:pPr>
            <w:r>
              <w:rPr>
                <w:rFonts w:hint="eastAsia" w:ascii="宋体" w:hAnsi="宋体" w:cs="宋体"/>
                <w:color w:val="auto"/>
                <w:sz w:val="24"/>
                <w:szCs w:val="24"/>
              </w:rPr>
              <w:t>保险费率</w:t>
            </w:r>
          </w:p>
        </w:tc>
        <w:tc>
          <w:tcPr>
            <w:tcW w:w="2160" w:type="dxa"/>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szCs w:val="24"/>
              </w:rPr>
            </w:pPr>
            <w:r>
              <w:rPr>
                <w:rFonts w:hint="eastAsia" w:ascii="宋体" w:hAnsi="宋体" w:cs="宋体"/>
                <w:color w:val="auto"/>
                <w:sz w:val="24"/>
                <w:szCs w:val="24"/>
              </w:rPr>
              <w:t>每座保险费</w:t>
            </w:r>
          </w:p>
        </w:tc>
      </w:tr>
      <w:tr>
        <w:tblPrEx>
          <w:tblCellMar>
            <w:top w:w="0" w:type="dxa"/>
            <w:left w:w="108" w:type="dxa"/>
            <w:bottom w:w="0" w:type="dxa"/>
            <w:right w:w="108" w:type="dxa"/>
          </w:tblCellMar>
        </w:tblPrEx>
        <w:trPr>
          <w:trHeight w:val="450" w:hRule="atLeast"/>
        </w:trPr>
        <w:tc>
          <w:tcPr>
            <w:tcW w:w="27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 w:val="24"/>
                <w:szCs w:val="24"/>
              </w:rPr>
            </w:pPr>
            <w:r>
              <w:rPr>
                <w:rFonts w:hint="eastAsia" w:ascii="宋体" w:hAnsi="宋体" w:cs="宋体"/>
                <w:color w:val="auto"/>
                <w:sz w:val="24"/>
                <w:szCs w:val="24"/>
              </w:rPr>
              <w:t>60万元/座</w:t>
            </w:r>
          </w:p>
        </w:tc>
        <w:tc>
          <w:tcPr>
            <w:tcW w:w="2700" w:type="dxa"/>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szCs w:val="24"/>
              </w:rPr>
            </w:pPr>
            <w:r>
              <w:rPr>
                <w:rFonts w:hint="eastAsia" w:ascii="宋体" w:hAnsi="宋体" w:cs="宋体"/>
                <w:color w:val="auto"/>
                <w:sz w:val="24"/>
                <w:szCs w:val="24"/>
              </w:rPr>
              <w:t>待报价</w:t>
            </w:r>
          </w:p>
        </w:tc>
        <w:tc>
          <w:tcPr>
            <w:tcW w:w="2160" w:type="dxa"/>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szCs w:val="24"/>
              </w:rPr>
            </w:pPr>
            <w:r>
              <w:rPr>
                <w:rFonts w:hint="eastAsia" w:ascii="宋体" w:hAnsi="宋体" w:cs="宋体"/>
                <w:color w:val="auto"/>
                <w:sz w:val="24"/>
                <w:szCs w:val="24"/>
              </w:rPr>
              <w:t>待报价</w:t>
            </w:r>
          </w:p>
        </w:tc>
      </w:tr>
    </w:tbl>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协议期间，若保险行业监管部门出台新的保险政策，保险公司承诺在遵守行业规定的前提下给予最优惠的承保条件承保甲方业务。</w:t>
      </w:r>
    </w:p>
    <w:p>
      <w:pPr>
        <w:spacing w:line="360" w:lineRule="auto"/>
        <w:rPr>
          <w:rFonts w:ascii="宋体" w:hAnsi="宋体" w:cs="宋体"/>
          <w:color w:val="auto"/>
          <w:sz w:val="24"/>
          <w:szCs w:val="24"/>
        </w:rPr>
      </w:pPr>
      <w:r>
        <w:rPr>
          <w:rFonts w:hint="eastAsia" w:ascii="宋体" w:hAnsi="宋体" w:cs="宋体"/>
          <w:color w:val="auto"/>
          <w:sz w:val="24"/>
          <w:szCs w:val="24"/>
        </w:rPr>
        <w:t>六、保单保险期限：</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1、一年（12个月），自按车辆起保之日起。</w:t>
      </w:r>
    </w:p>
    <w:p>
      <w:pPr>
        <w:spacing w:line="360" w:lineRule="auto"/>
        <w:rPr>
          <w:rFonts w:ascii="宋体" w:hAnsi="宋体" w:cs="宋体"/>
          <w:color w:val="auto"/>
          <w:sz w:val="24"/>
          <w:szCs w:val="24"/>
        </w:rPr>
      </w:pPr>
      <w:r>
        <w:rPr>
          <w:rFonts w:hint="eastAsia" w:ascii="宋体" w:hAnsi="宋体" w:cs="宋体"/>
          <w:color w:val="auto"/>
          <w:sz w:val="24"/>
          <w:szCs w:val="24"/>
        </w:rPr>
        <w:t>2、</w:t>
      </w:r>
      <w:r>
        <w:rPr>
          <w:rFonts w:ascii="宋体" w:hAnsi="宋体" w:cs="宋体"/>
          <w:color w:val="auto"/>
          <w:sz w:val="24"/>
          <w:szCs w:val="24"/>
        </w:rPr>
        <w:t>在保险期间</w:t>
      </w:r>
      <w:r>
        <w:rPr>
          <w:rFonts w:hint="eastAsia" w:ascii="宋体" w:hAnsi="宋体" w:cs="宋体"/>
          <w:color w:val="auto"/>
          <w:sz w:val="24"/>
          <w:szCs w:val="24"/>
        </w:rPr>
        <w:t>甲方</w:t>
      </w:r>
      <w:r>
        <w:rPr>
          <w:rFonts w:ascii="宋体" w:hAnsi="宋体" w:cs="宋体"/>
          <w:color w:val="auto"/>
          <w:sz w:val="24"/>
          <w:szCs w:val="24"/>
        </w:rPr>
        <w:t>车辆报废、移出的，保险责任终止不办理退保；新购置、移入的车辆视同投保，无须另缴保费。</w:t>
      </w:r>
    </w:p>
    <w:p>
      <w:pPr>
        <w:spacing w:line="560" w:lineRule="exact"/>
        <w:rPr>
          <w:rFonts w:ascii="宋体" w:hAnsi="宋体" w:cs="宋体"/>
          <w:color w:val="auto"/>
          <w:sz w:val="24"/>
          <w:szCs w:val="24"/>
        </w:rPr>
      </w:pPr>
      <w:r>
        <w:rPr>
          <w:rFonts w:hint="eastAsia" w:ascii="宋体" w:hAnsi="宋体" w:cs="宋体"/>
          <w:color w:val="auto"/>
          <w:sz w:val="24"/>
          <w:szCs w:val="24"/>
        </w:rPr>
        <w:t>七、客运承运人责任险承保出单特约</w:t>
      </w:r>
    </w:p>
    <w:p>
      <w:pPr>
        <w:spacing w:line="560" w:lineRule="exact"/>
        <w:ind w:firstLine="560"/>
        <w:rPr>
          <w:rFonts w:ascii="宋体" w:hAnsi="宋体" w:cs="宋体"/>
          <w:color w:val="auto"/>
          <w:sz w:val="24"/>
          <w:szCs w:val="24"/>
        </w:rPr>
      </w:pPr>
      <w:r>
        <w:rPr>
          <w:rFonts w:hint="eastAsia" w:ascii="宋体" w:hAnsi="宋体" w:cs="宋体"/>
          <w:color w:val="auto"/>
          <w:sz w:val="24"/>
          <w:szCs w:val="24"/>
        </w:rPr>
        <w:t xml:space="preserve">1、乙方同意，在客运承运人责任险保单中增加以下特别约定： </w:t>
      </w:r>
    </w:p>
    <w:p>
      <w:pPr>
        <w:spacing w:line="560" w:lineRule="exact"/>
        <w:ind w:firstLine="560"/>
        <w:rPr>
          <w:rFonts w:ascii="宋体" w:hAnsi="宋体" w:cs="宋体"/>
          <w:color w:val="auto"/>
          <w:sz w:val="24"/>
          <w:szCs w:val="24"/>
        </w:rPr>
      </w:pPr>
      <w:r>
        <w:rPr>
          <w:rFonts w:hint="eastAsia" w:ascii="宋体" w:hAnsi="宋体" w:cs="宋体"/>
          <w:color w:val="auto"/>
          <w:sz w:val="24"/>
          <w:szCs w:val="24"/>
        </w:rPr>
        <w:t>（1）途中特约：</w:t>
      </w:r>
    </w:p>
    <w:p>
      <w:pPr>
        <w:spacing w:line="560" w:lineRule="exact"/>
        <w:ind w:firstLine="560"/>
        <w:rPr>
          <w:rFonts w:ascii="宋体" w:hAnsi="宋体" w:cs="宋体"/>
          <w:color w:val="auto"/>
          <w:sz w:val="24"/>
          <w:szCs w:val="24"/>
        </w:rPr>
      </w:pPr>
      <w:r>
        <w:rPr>
          <w:rFonts w:hint="eastAsia" w:ascii="宋体" w:hAnsi="宋体" w:cs="宋体"/>
          <w:color w:val="auto"/>
          <w:sz w:val="24"/>
          <w:szCs w:val="24"/>
        </w:rPr>
        <w:t>兹经双方同意，保险条款中，旅客在乘坐被保险人提供的客运车辆的“途中”，包含旅客在正常上下车过程中。</w:t>
      </w:r>
    </w:p>
    <w:p>
      <w:pPr>
        <w:spacing w:line="560" w:lineRule="exact"/>
        <w:ind w:firstLine="560"/>
        <w:rPr>
          <w:rFonts w:ascii="宋体" w:hAnsi="宋体" w:cs="宋体"/>
          <w:color w:val="auto"/>
          <w:sz w:val="24"/>
          <w:szCs w:val="24"/>
        </w:rPr>
      </w:pPr>
      <w:r>
        <w:rPr>
          <w:rFonts w:hint="eastAsia" w:ascii="宋体" w:hAnsi="宋体" w:cs="宋体"/>
          <w:color w:val="auto"/>
          <w:sz w:val="24"/>
          <w:szCs w:val="24"/>
        </w:rPr>
        <w:t>（2）司乘人员扩展承保特约：</w:t>
      </w:r>
    </w:p>
    <w:p>
      <w:pPr>
        <w:spacing w:line="560" w:lineRule="exact"/>
        <w:ind w:firstLine="560"/>
        <w:rPr>
          <w:rFonts w:ascii="宋体" w:hAnsi="宋体" w:cs="宋体"/>
          <w:color w:val="auto"/>
          <w:sz w:val="24"/>
          <w:szCs w:val="24"/>
        </w:rPr>
      </w:pPr>
      <w:r>
        <w:rPr>
          <w:rFonts w:hint="eastAsia" w:ascii="宋体" w:hAnsi="宋体" w:cs="宋体"/>
          <w:color w:val="auto"/>
          <w:sz w:val="24"/>
          <w:szCs w:val="24"/>
        </w:rPr>
        <w:t>兹经双方同意，本保险免费扩展承保车辆上的“司乘人员”。</w:t>
      </w:r>
    </w:p>
    <w:p>
      <w:pPr>
        <w:spacing w:line="560" w:lineRule="exact"/>
        <w:ind w:firstLine="560"/>
        <w:rPr>
          <w:rFonts w:ascii="宋体" w:hAnsi="宋体" w:cs="宋体"/>
          <w:color w:val="auto"/>
          <w:sz w:val="24"/>
          <w:szCs w:val="24"/>
        </w:rPr>
      </w:pPr>
      <w:r>
        <w:rPr>
          <w:rFonts w:hint="eastAsia" w:ascii="宋体" w:hAnsi="宋体" w:cs="宋体"/>
          <w:color w:val="auto"/>
          <w:sz w:val="24"/>
          <w:szCs w:val="24"/>
        </w:rPr>
        <w:t>（3）紧急运输费用扩展承保特约</w:t>
      </w:r>
    </w:p>
    <w:p>
      <w:pPr>
        <w:spacing w:line="560" w:lineRule="exact"/>
        <w:ind w:firstLine="560"/>
        <w:rPr>
          <w:rFonts w:ascii="宋体" w:hAnsi="宋体" w:cs="宋体"/>
          <w:color w:val="auto"/>
          <w:sz w:val="24"/>
          <w:szCs w:val="24"/>
        </w:rPr>
      </w:pPr>
      <w:r>
        <w:rPr>
          <w:rFonts w:hint="eastAsia" w:ascii="宋体" w:hAnsi="宋体" w:cs="宋体"/>
          <w:color w:val="auto"/>
          <w:sz w:val="24"/>
          <w:szCs w:val="24"/>
        </w:rPr>
        <w:t>兹经双方同意，本保险扩展承保发生保险事故时所支付的必须的、合理的紧急运输费用，包括运送医疗机构的交通费用、救护车使用费等。本条款项下的赔偿责任限额为每人不超过RMB50,000元。</w:t>
      </w:r>
    </w:p>
    <w:p>
      <w:pPr>
        <w:spacing w:line="560" w:lineRule="exact"/>
        <w:ind w:firstLine="560"/>
        <w:rPr>
          <w:rFonts w:ascii="宋体" w:hAnsi="宋体" w:cs="宋体"/>
          <w:color w:val="auto"/>
          <w:sz w:val="24"/>
          <w:szCs w:val="24"/>
        </w:rPr>
      </w:pPr>
      <w:r>
        <w:rPr>
          <w:rFonts w:hint="eastAsia" w:ascii="宋体" w:hAnsi="宋体" w:cs="宋体"/>
          <w:color w:val="auto"/>
          <w:sz w:val="24"/>
          <w:szCs w:val="24"/>
        </w:rPr>
        <w:t>2、双方同意，客运承运人责任险保费按照投保批次进行结算，具体由被保险人与乙方出单公司商定。</w:t>
      </w:r>
    </w:p>
    <w:p>
      <w:pPr>
        <w:spacing w:line="360" w:lineRule="auto"/>
        <w:rPr>
          <w:rFonts w:ascii="宋体" w:hAnsi="宋体" w:cs="宋体"/>
          <w:color w:val="auto"/>
          <w:sz w:val="24"/>
          <w:szCs w:val="24"/>
        </w:rPr>
      </w:pPr>
      <w:r>
        <w:rPr>
          <w:rFonts w:hint="eastAsia" w:ascii="宋体" w:hAnsi="宋体" w:cs="宋体"/>
          <w:color w:val="auto"/>
          <w:sz w:val="24"/>
          <w:szCs w:val="24"/>
        </w:rPr>
        <w:t>八、保险协议期限：</w:t>
      </w:r>
    </w:p>
    <w:p>
      <w:pPr>
        <w:spacing w:line="360" w:lineRule="auto"/>
        <w:rPr>
          <w:rFonts w:ascii="宋体" w:hAnsi="宋体" w:cs="宋体"/>
          <w:color w:val="auto"/>
          <w:sz w:val="24"/>
          <w:szCs w:val="24"/>
        </w:rPr>
      </w:pPr>
      <w:r>
        <w:rPr>
          <w:rFonts w:hint="eastAsia" w:ascii="宋体" w:hAnsi="宋体" w:cs="宋体"/>
          <w:color w:val="auto"/>
          <w:sz w:val="24"/>
          <w:szCs w:val="24"/>
        </w:rPr>
        <w:t>本保险协议自签订之日起生效，有效期1年。</w:t>
      </w:r>
    </w:p>
    <w:p>
      <w:pPr>
        <w:spacing w:line="360" w:lineRule="auto"/>
        <w:rPr>
          <w:rFonts w:ascii="宋体" w:hAnsi="宋体" w:cs="宋体"/>
          <w:color w:val="auto"/>
          <w:sz w:val="24"/>
          <w:szCs w:val="24"/>
        </w:rPr>
      </w:pPr>
      <w:r>
        <w:rPr>
          <w:rFonts w:hint="eastAsia" w:ascii="宋体" w:hAnsi="宋体" w:cs="宋体"/>
          <w:color w:val="auto"/>
          <w:sz w:val="24"/>
          <w:szCs w:val="24"/>
        </w:rPr>
        <w:t>九、司法管辖：中华人民共和国司法管辖</w:t>
      </w:r>
    </w:p>
    <w:p>
      <w:pPr>
        <w:spacing w:line="360" w:lineRule="auto"/>
        <w:rPr>
          <w:rFonts w:ascii="宋体" w:hAnsi="宋体" w:cs="宋体"/>
          <w:color w:val="auto"/>
          <w:sz w:val="24"/>
          <w:szCs w:val="24"/>
        </w:rPr>
      </w:pPr>
      <w:r>
        <w:rPr>
          <w:rFonts w:hint="eastAsia" w:ascii="宋体" w:hAnsi="宋体" w:cs="宋体"/>
          <w:color w:val="auto"/>
          <w:sz w:val="24"/>
          <w:szCs w:val="24"/>
        </w:rPr>
        <w:t xml:space="preserve">十、主条款：（待乙方提供经中国保险监督管理委员会批准的道路客运承运人责任保险条款） </w:t>
      </w:r>
    </w:p>
    <w:p>
      <w:pPr>
        <w:spacing w:line="360" w:lineRule="auto"/>
        <w:rPr>
          <w:rFonts w:ascii="宋体" w:hAnsi="宋体" w:cs="宋体"/>
          <w:color w:val="auto"/>
          <w:sz w:val="24"/>
          <w:szCs w:val="24"/>
        </w:rPr>
      </w:pPr>
      <w:r>
        <w:rPr>
          <w:rFonts w:hint="eastAsia" w:ascii="宋体" w:hAnsi="宋体" w:cs="宋体"/>
          <w:color w:val="auto"/>
          <w:sz w:val="24"/>
          <w:szCs w:val="24"/>
        </w:rPr>
        <w:t>十一、附加条款：</w:t>
      </w:r>
    </w:p>
    <w:p>
      <w:pPr>
        <w:spacing w:line="360" w:lineRule="auto"/>
        <w:rPr>
          <w:rFonts w:ascii="宋体" w:hAnsi="宋体" w:cs="宋体"/>
          <w:color w:val="auto"/>
          <w:sz w:val="24"/>
          <w:szCs w:val="24"/>
        </w:rPr>
      </w:pPr>
      <w:r>
        <w:rPr>
          <w:rFonts w:hint="eastAsia" w:ascii="宋体" w:hAnsi="宋体" w:cs="宋体"/>
          <w:color w:val="auto"/>
          <w:sz w:val="24"/>
          <w:szCs w:val="24"/>
        </w:rPr>
        <w:t xml:space="preserve">   以下附加条款除特别注明外，适用本保险单和各个部分，若其与本保险单的其他规定相冲突，则以下列附加条款为准。</w:t>
      </w:r>
    </w:p>
    <w:p>
      <w:pPr>
        <w:spacing w:line="360" w:lineRule="auto"/>
        <w:rPr>
          <w:rFonts w:ascii="宋体" w:hAnsi="宋体" w:cs="宋体"/>
          <w:color w:val="auto"/>
          <w:sz w:val="24"/>
          <w:szCs w:val="24"/>
        </w:rPr>
      </w:pPr>
      <w:r>
        <w:rPr>
          <w:rFonts w:hint="eastAsia" w:ascii="宋体" w:hAnsi="宋体" w:cs="宋体"/>
          <w:color w:val="auto"/>
          <w:sz w:val="24"/>
          <w:szCs w:val="24"/>
        </w:rPr>
        <w:t xml:space="preserve">      附加承运人司乘人员责任保险条款</w:t>
      </w:r>
    </w:p>
    <w:p>
      <w:pPr>
        <w:rPr>
          <w:rFonts w:ascii="宋体" w:hAnsi="宋体" w:cs="宋体"/>
          <w:color w:val="auto"/>
          <w:sz w:val="24"/>
          <w:szCs w:val="24"/>
        </w:rPr>
      </w:pPr>
      <w:r>
        <w:rPr>
          <w:rFonts w:hint="eastAsia" w:ascii="宋体" w:hAnsi="宋体" w:cs="宋体"/>
          <w:color w:val="auto"/>
          <w:sz w:val="24"/>
          <w:szCs w:val="24"/>
        </w:rPr>
        <w:br w:type="page"/>
      </w:r>
    </w:p>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保险险种</w:t>
      </w:r>
      <w:r>
        <w:rPr>
          <w:rFonts w:ascii="宋体" w:hAnsi="宋体" w:cs="宋体"/>
          <w:b/>
          <w:bCs/>
          <w:color w:val="auto"/>
          <w:sz w:val="24"/>
          <w:szCs w:val="24"/>
        </w:rPr>
        <w:t>3</w:t>
      </w:r>
      <w:r>
        <w:rPr>
          <w:rFonts w:hint="eastAsia" w:ascii="宋体" w:hAnsi="宋体" w:cs="宋体"/>
          <w:b/>
          <w:bCs/>
          <w:color w:val="auto"/>
          <w:sz w:val="24"/>
          <w:szCs w:val="24"/>
        </w:rPr>
        <w:t>、安全生产责任险</w:t>
      </w:r>
    </w:p>
    <w:p>
      <w:pPr>
        <w:spacing w:line="360" w:lineRule="auto"/>
        <w:rPr>
          <w:rFonts w:ascii="宋体" w:hAnsi="宋体" w:cs="宋体"/>
          <w:color w:val="auto"/>
          <w:sz w:val="24"/>
          <w:szCs w:val="24"/>
        </w:rPr>
      </w:pPr>
      <w:r>
        <w:rPr>
          <w:rFonts w:hint="eastAsia" w:ascii="宋体" w:hAnsi="宋体" w:cs="宋体"/>
          <w:color w:val="auto"/>
          <w:sz w:val="24"/>
          <w:szCs w:val="24"/>
        </w:rPr>
        <w:t>一、投保人名称及地址</w:t>
      </w:r>
    </w:p>
    <w:p>
      <w:pPr>
        <w:spacing w:line="360" w:lineRule="auto"/>
        <w:rPr>
          <w:rFonts w:ascii="宋体" w:hAnsi="宋体" w:cs="宋体"/>
          <w:color w:val="auto"/>
          <w:sz w:val="24"/>
          <w:szCs w:val="24"/>
        </w:rPr>
      </w:pPr>
      <w:r>
        <w:rPr>
          <w:rFonts w:hint="eastAsia" w:ascii="宋体" w:hAnsi="宋体" w:cs="宋体"/>
          <w:color w:val="auto"/>
          <w:sz w:val="24"/>
          <w:szCs w:val="24"/>
        </w:rPr>
        <w:t xml:space="preserve">投保人名称：福建省宁德市汽车运输集团有限公司 </w:t>
      </w:r>
    </w:p>
    <w:p>
      <w:pPr>
        <w:spacing w:line="360" w:lineRule="auto"/>
        <w:rPr>
          <w:rFonts w:ascii="宋体" w:hAnsi="宋体" w:cs="宋体"/>
          <w:color w:val="auto"/>
          <w:sz w:val="24"/>
          <w:szCs w:val="24"/>
        </w:rPr>
      </w:pPr>
      <w:r>
        <w:rPr>
          <w:rFonts w:hint="eastAsia" w:ascii="宋体" w:hAnsi="宋体" w:cs="宋体"/>
          <w:color w:val="auto"/>
          <w:sz w:val="24"/>
          <w:szCs w:val="24"/>
        </w:rPr>
        <w:t xml:space="preserve">投保人地址： </w:t>
      </w:r>
    </w:p>
    <w:p>
      <w:pPr>
        <w:spacing w:line="360" w:lineRule="auto"/>
        <w:rPr>
          <w:rFonts w:ascii="宋体" w:hAnsi="宋体" w:cs="宋体"/>
          <w:color w:val="auto"/>
          <w:sz w:val="24"/>
          <w:szCs w:val="24"/>
        </w:rPr>
      </w:pPr>
      <w:r>
        <w:rPr>
          <w:rFonts w:hint="eastAsia" w:ascii="宋体" w:hAnsi="宋体" w:cs="宋体"/>
          <w:color w:val="auto"/>
          <w:sz w:val="24"/>
          <w:szCs w:val="24"/>
        </w:rPr>
        <w:t>二、被保险人名称</w:t>
      </w:r>
    </w:p>
    <w:p>
      <w:pPr>
        <w:spacing w:line="360" w:lineRule="auto"/>
        <w:rPr>
          <w:rFonts w:ascii="宋体" w:hAnsi="宋体" w:cs="宋体"/>
          <w:color w:val="auto"/>
          <w:sz w:val="24"/>
          <w:szCs w:val="24"/>
        </w:rPr>
      </w:pPr>
      <w:r>
        <w:rPr>
          <w:rFonts w:hint="eastAsia" w:ascii="宋体" w:hAnsi="宋体" w:cs="宋体"/>
          <w:color w:val="auto"/>
          <w:sz w:val="24"/>
          <w:szCs w:val="24"/>
        </w:rPr>
        <w:t xml:space="preserve">被保险人名称：福建省宁德市汽车运输集团有限公司 </w:t>
      </w:r>
    </w:p>
    <w:p>
      <w:pPr>
        <w:spacing w:line="360" w:lineRule="auto"/>
        <w:rPr>
          <w:rFonts w:ascii="宋体" w:hAnsi="宋体" w:cs="宋体"/>
          <w:color w:val="auto"/>
          <w:sz w:val="24"/>
          <w:szCs w:val="24"/>
        </w:rPr>
      </w:pPr>
      <w:r>
        <w:rPr>
          <w:rFonts w:hint="eastAsia" w:ascii="宋体" w:hAnsi="宋体" w:cs="宋体"/>
          <w:color w:val="auto"/>
          <w:sz w:val="24"/>
          <w:szCs w:val="24"/>
        </w:rPr>
        <w:t xml:space="preserve">被保险人地址： </w:t>
      </w:r>
    </w:p>
    <w:p>
      <w:pPr>
        <w:spacing w:line="360" w:lineRule="auto"/>
        <w:rPr>
          <w:rFonts w:ascii="宋体" w:hAnsi="宋体" w:cs="宋体"/>
          <w:color w:val="auto"/>
          <w:sz w:val="24"/>
          <w:szCs w:val="24"/>
        </w:rPr>
      </w:pPr>
      <w:r>
        <w:rPr>
          <w:rFonts w:hint="eastAsia" w:ascii="宋体" w:hAnsi="宋体" w:cs="宋体"/>
          <w:color w:val="auto"/>
          <w:sz w:val="24"/>
          <w:szCs w:val="24"/>
        </w:rPr>
        <w:t>三、投保标的：内外勤员工</w:t>
      </w:r>
    </w:p>
    <w:p>
      <w:pPr>
        <w:spacing w:line="360" w:lineRule="auto"/>
        <w:rPr>
          <w:rFonts w:ascii="宋体" w:hAnsi="宋体" w:cs="宋体"/>
          <w:color w:val="auto"/>
          <w:sz w:val="24"/>
          <w:szCs w:val="24"/>
        </w:rPr>
      </w:pPr>
      <w:r>
        <w:rPr>
          <w:rFonts w:hint="eastAsia" w:ascii="宋体" w:hAnsi="宋体" w:cs="宋体"/>
          <w:color w:val="auto"/>
          <w:sz w:val="24"/>
          <w:szCs w:val="24"/>
        </w:rPr>
        <w:t>四、赔偿限额：</w:t>
      </w:r>
    </w:p>
    <w:tbl>
      <w:tblPr>
        <w:tblStyle w:val="37"/>
        <w:tblW w:w="0" w:type="auto"/>
        <w:tblInd w:w="288" w:type="dxa"/>
        <w:tblLayout w:type="fixed"/>
        <w:tblCellMar>
          <w:top w:w="0" w:type="dxa"/>
          <w:left w:w="108" w:type="dxa"/>
          <w:bottom w:w="0" w:type="dxa"/>
          <w:right w:w="108" w:type="dxa"/>
        </w:tblCellMar>
      </w:tblPr>
      <w:tblGrid>
        <w:gridCol w:w="2700"/>
        <w:gridCol w:w="2700"/>
        <w:gridCol w:w="2160"/>
      </w:tblGrid>
      <w:tr>
        <w:tblPrEx>
          <w:tblCellMar>
            <w:top w:w="0" w:type="dxa"/>
            <w:left w:w="108" w:type="dxa"/>
            <w:bottom w:w="0" w:type="dxa"/>
            <w:right w:w="108" w:type="dxa"/>
          </w:tblCellMar>
        </w:tblPrEx>
        <w:trPr>
          <w:trHeight w:val="465" w:hRule="atLeast"/>
        </w:trPr>
        <w:tc>
          <w:tcPr>
            <w:tcW w:w="27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 w:val="24"/>
                <w:szCs w:val="24"/>
              </w:rPr>
            </w:pPr>
            <w:r>
              <w:rPr>
                <w:rFonts w:hint="eastAsia" w:ascii="宋体" w:hAnsi="宋体" w:cs="宋体"/>
                <w:color w:val="auto"/>
                <w:sz w:val="24"/>
                <w:szCs w:val="24"/>
              </w:rPr>
              <w:t>每人赔偿限额</w:t>
            </w:r>
          </w:p>
        </w:tc>
        <w:tc>
          <w:tcPr>
            <w:tcW w:w="2700" w:type="dxa"/>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szCs w:val="24"/>
              </w:rPr>
            </w:pPr>
            <w:r>
              <w:rPr>
                <w:rFonts w:hint="eastAsia" w:ascii="宋体" w:hAnsi="宋体" w:cs="宋体"/>
                <w:color w:val="auto"/>
                <w:sz w:val="24"/>
                <w:szCs w:val="24"/>
              </w:rPr>
              <w:t>保险费率</w:t>
            </w:r>
          </w:p>
        </w:tc>
        <w:tc>
          <w:tcPr>
            <w:tcW w:w="2160" w:type="dxa"/>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szCs w:val="24"/>
              </w:rPr>
            </w:pPr>
            <w:r>
              <w:rPr>
                <w:rFonts w:hint="eastAsia" w:ascii="宋体" w:hAnsi="宋体" w:cs="宋体"/>
                <w:color w:val="auto"/>
                <w:sz w:val="24"/>
                <w:szCs w:val="24"/>
              </w:rPr>
              <w:t>每人保险费</w:t>
            </w:r>
          </w:p>
        </w:tc>
      </w:tr>
      <w:tr>
        <w:tblPrEx>
          <w:tblCellMar>
            <w:top w:w="0" w:type="dxa"/>
            <w:left w:w="108" w:type="dxa"/>
            <w:bottom w:w="0" w:type="dxa"/>
            <w:right w:w="108" w:type="dxa"/>
          </w:tblCellMar>
        </w:tblPrEx>
        <w:trPr>
          <w:trHeight w:val="450" w:hRule="atLeast"/>
        </w:trPr>
        <w:tc>
          <w:tcPr>
            <w:tcW w:w="27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 w:val="24"/>
                <w:szCs w:val="24"/>
              </w:rPr>
            </w:pPr>
            <w:r>
              <w:rPr>
                <w:rFonts w:hint="eastAsia" w:ascii="宋体" w:hAnsi="宋体" w:cs="宋体"/>
                <w:color w:val="auto"/>
                <w:sz w:val="24"/>
                <w:szCs w:val="24"/>
              </w:rPr>
              <w:t>待报价</w:t>
            </w:r>
          </w:p>
        </w:tc>
        <w:tc>
          <w:tcPr>
            <w:tcW w:w="2700" w:type="dxa"/>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szCs w:val="24"/>
              </w:rPr>
            </w:pPr>
            <w:r>
              <w:rPr>
                <w:rFonts w:hint="eastAsia" w:ascii="宋体" w:hAnsi="宋体" w:cs="宋体"/>
                <w:color w:val="auto"/>
                <w:sz w:val="24"/>
                <w:szCs w:val="24"/>
              </w:rPr>
              <w:t>待报价</w:t>
            </w:r>
          </w:p>
        </w:tc>
        <w:tc>
          <w:tcPr>
            <w:tcW w:w="2160" w:type="dxa"/>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szCs w:val="24"/>
              </w:rPr>
            </w:pPr>
            <w:r>
              <w:rPr>
                <w:rFonts w:ascii="宋体" w:hAnsi="宋体" w:cs="宋体"/>
                <w:color w:val="auto"/>
                <w:sz w:val="24"/>
                <w:szCs w:val="24"/>
              </w:rPr>
              <w:t>120</w:t>
            </w:r>
            <w:r>
              <w:rPr>
                <w:rFonts w:hint="eastAsia" w:ascii="宋体" w:hAnsi="宋体" w:cs="宋体"/>
                <w:color w:val="auto"/>
                <w:sz w:val="24"/>
                <w:szCs w:val="24"/>
              </w:rPr>
              <w:t>元</w:t>
            </w:r>
            <w:r>
              <w:rPr>
                <w:rFonts w:ascii="宋体" w:hAnsi="宋体" w:cs="宋体"/>
                <w:color w:val="auto"/>
                <w:sz w:val="24"/>
                <w:szCs w:val="24"/>
              </w:rPr>
              <w:t>/</w:t>
            </w:r>
            <w:r>
              <w:rPr>
                <w:rFonts w:hint="eastAsia" w:ascii="宋体" w:hAnsi="宋体" w:cs="宋体"/>
                <w:color w:val="auto"/>
                <w:sz w:val="24"/>
                <w:szCs w:val="24"/>
              </w:rPr>
              <w:t>人</w:t>
            </w:r>
          </w:p>
        </w:tc>
      </w:tr>
    </w:tbl>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r>
        <w:rPr>
          <w:rFonts w:hint="eastAsia" w:ascii="宋体" w:hAnsi="宋体" w:cs="宋体"/>
          <w:color w:val="auto"/>
          <w:sz w:val="24"/>
          <w:szCs w:val="24"/>
        </w:rPr>
        <w:t>五、保单保险期限：</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1、一年（12个月），自按车辆起保之日起。</w:t>
      </w:r>
    </w:p>
    <w:p>
      <w:pPr>
        <w:spacing w:line="360" w:lineRule="auto"/>
        <w:rPr>
          <w:rFonts w:ascii="宋体" w:hAnsi="宋体" w:cs="宋体"/>
          <w:color w:val="auto"/>
          <w:sz w:val="24"/>
          <w:szCs w:val="24"/>
        </w:rPr>
      </w:pPr>
      <w:r>
        <w:rPr>
          <w:rFonts w:hint="eastAsia" w:ascii="宋体" w:hAnsi="宋体" w:cs="宋体"/>
          <w:color w:val="auto"/>
          <w:sz w:val="24"/>
          <w:szCs w:val="24"/>
        </w:rPr>
        <w:br w:type="page"/>
      </w:r>
    </w:p>
    <w:p>
      <w:pPr>
        <w:outlineLvl w:val="1"/>
        <w:rPr>
          <w:rFonts w:ascii="宋体" w:hAnsi="宋体" w:cs="宋体"/>
          <w:b/>
          <w:bCs/>
          <w:color w:val="auto"/>
          <w:sz w:val="24"/>
          <w:szCs w:val="24"/>
        </w:rPr>
      </w:pPr>
      <w:bookmarkStart w:id="41" w:name="_Toc510016674"/>
      <w:r>
        <w:rPr>
          <w:rFonts w:hint="eastAsia" w:ascii="宋体" w:hAnsi="宋体" w:cs="宋体"/>
          <w:b/>
          <w:bCs/>
          <w:color w:val="auto"/>
          <w:sz w:val="24"/>
          <w:szCs w:val="24"/>
        </w:rPr>
        <w:t>附件2 保险理赔服务约定</w:t>
      </w:r>
      <w:bookmarkEnd w:id="41"/>
    </w:p>
    <w:p>
      <w:pPr>
        <w:spacing w:line="360" w:lineRule="auto"/>
        <w:ind w:firstLine="560"/>
        <w:rPr>
          <w:rFonts w:ascii="宋体" w:hAnsi="宋体" w:cs="宋体"/>
          <w:color w:val="auto"/>
          <w:sz w:val="24"/>
          <w:szCs w:val="24"/>
        </w:rPr>
      </w:pPr>
      <w:r>
        <w:rPr>
          <w:rFonts w:hint="eastAsia" w:ascii="宋体" w:hAnsi="宋体" w:cs="宋体"/>
          <w:color w:val="auto"/>
          <w:sz w:val="24"/>
          <w:szCs w:val="24"/>
        </w:rPr>
        <w:t>乙方应建立宁德市汽车运输集团有限公司保险项目小组及VIP客户理赔服务绿色通道，切实遵守以下保险理赔服务约定，主动迅速地为被保险人提供优质的理赔服务，实现客户服务高度满意。</w:t>
      </w:r>
    </w:p>
    <w:p>
      <w:pPr>
        <w:spacing w:line="360" w:lineRule="auto"/>
        <w:rPr>
          <w:rFonts w:ascii="宋体" w:hAnsi="宋体" w:cs="宋体"/>
          <w:b/>
          <w:color w:val="auto"/>
          <w:sz w:val="24"/>
          <w:szCs w:val="24"/>
        </w:rPr>
      </w:pPr>
      <w:r>
        <w:rPr>
          <w:rFonts w:hint="eastAsia" w:ascii="宋体" w:hAnsi="宋体" w:cs="宋体"/>
          <w:b/>
          <w:color w:val="auto"/>
          <w:sz w:val="24"/>
          <w:szCs w:val="24"/>
        </w:rPr>
        <w:t>一、接报案</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1、乙方设立24小时保险服务专线电话，电话号码：*****，可全年365天随时接受被保险人的出险报案，并应立即通知项目小组。被保险人也可以直接向乙方项目小组报案。</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2、被保险人因特殊情况无法在乙方规定的时间内报案，乙方应认可被保险人事后出具的书面说明或交警事故认定书，并视同为及时报案。</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7" w:type="dxa"/>
            <w:gridSpan w:val="4"/>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保险项目服务小组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姓名</w:t>
            </w:r>
          </w:p>
        </w:tc>
        <w:tc>
          <w:tcPr>
            <w:tcW w:w="1704"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职务</w:t>
            </w:r>
          </w:p>
        </w:tc>
        <w:tc>
          <w:tcPr>
            <w:tcW w:w="170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联系方式</w:t>
            </w:r>
          </w:p>
        </w:tc>
        <w:tc>
          <w:tcPr>
            <w:tcW w:w="170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服务职责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Align w:val="center"/>
          </w:tcPr>
          <w:p>
            <w:pPr>
              <w:spacing w:line="360" w:lineRule="auto"/>
              <w:jc w:val="center"/>
              <w:rPr>
                <w:rFonts w:ascii="宋体" w:hAnsi="宋体" w:cs="宋体"/>
                <w:color w:val="auto"/>
                <w:sz w:val="24"/>
                <w:szCs w:val="24"/>
              </w:rPr>
            </w:pPr>
          </w:p>
        </w:tc>
        <w:tc>
          <w:tcPr>
            <w:tcW w:w="1704" w:type="dxa"/>
            <w:vAlign w:val="center"/>
          </w:tcPr>
          <w:p>
            <w:pPr>
              <w:spacing w:line="360" w:lineRule="auto"/>
              <w:jc w:val="center"/>
              <w:rPr>
                <w:rFonts w:ascii="宋体" w:hAnsi="宋体" w:cs="宋体"/>
                <w:color w:val="auto"/>
                <w:sz w:val="24"/>
                <w:szCs w:val="24"/>
              </w:rPr>
            </w:pPr>
          </w:p>
        </w:tc>
        <w:tc>
          <w:tcPr>
            <w:tcW w:w="1705" w:type="dxa"/>
            <w:vAlign w:val="center"/>
          </w:tcPr>
          <w:p>
            <w:pPr>
              <w:spacing w:line="360" w:lineRule="auto"/>
              <w:jc w:val="center"/>
              <w:rPr>
                <w:rFonts w:ascii="宋体" w:hAnsi="宋体" w:cs="宋体"/>
                <w:color w:val="auto"/>
                <w:sz w:val="24"/>
                <w:szCs w:val="24"/>
              </w:rPr>
            </w:pPr>
          </w:p>
        </w:tc>
        <w:tc>
          <w:tcPr>
            <w:tcW w:w="1705" w:type="dxa"/>
            <w:vAlign w:val="center"/>
          </w:tcPr>
          <w:p>
            <w:pPr>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3" w:type="dxa"/>
            <w:vAlign w:val="center"/>
          </w:tcPr>
          <w:p>
            <w:pPr>
              <w:spacing w:line="360" w:lineRule="auto"/>
              <w:jc w:val="center"/>
              <w:rPr>
                <w:rFonts w:ascii="宋体" w:hAnsi="宋体" w:cs="宋体"/>
                <w:color w:val="auto"/>
                <w:sz w:val="24"/>
                <w:szCs w:val="24"/>
              </w:rPr>
            </w:pPr>
          </w:p>
        </w:tc>
        <w:tc>
          <w:tcPr>
            <w:tcW w:w="1704" w:type="dxa"/>
            <w:vAlign w:val="center"/>
          </w:tcPr>
          <w:p>
            <w:pPr>
              <w:spacing w:line="360" w:lineRule="auto"/>
              <w:jc w:val="center"/>
              <w:rPr>
                <w:rFonts w:ascii="宋体" w:hAnsi="宋体" w:cs="宋体"/>
                <w:color w:val="auto"/>
                <w:sz w:val="24"/>
                <w:szCs w:val="24"/>
              </w:rPr>
            </w:pPr>
          </w:p>
        </w:tc>
        <w:tc>
          <w:tcPr>
            <w:tcW w:w="1705" w:type="dxa"/>
            <w:vAlign w:val="center"/>
          </w:tcPr>
          <w:p>
            <w:pPr>
              <w:spacing w:line="360" w:lineRule="auto"/>
              <w:jc w:val="center"/>
              <w:rPr>
                <w:rFonts w:ascii="宋体" w:hAnsi="宋体" w:cs="宋体"/>
                <w:color w:val="auto"/>
                <w:sz w:val="24"/>
                <w:szCs w:val="24"/>
              </w:rPr>
            </w:pPr>
          </w:p>
        </w:tc>
        <w:tc>
          <w:tcPr>
            <w:tcW w:w="1705" w:type="dxa"/>
            <w:vAlign w:val="center"/>
          </w:tcPr>
          <w:p>
            <w:pPr>
              <w:spacing w:line="360" w:lineRule="auto"/>
              <w:jc w:val="center"/>
              <w:rPr>
                <w:rFonts w:ascii="宋体" w:hAnsi="宋体" w:cs="宋体"/>
                <w:color w:val="auto"/>
                <w:sz w:val="24"/>
                <w:szCs w:val="24"/>
              </w:rPr>
            </w:pPr>
          </w:p>
        </w:tc>
      </w:tr>
    </w:tbl>
    <w:p>
      <w:pPr>
        <w:spacing w:line="360" w:lineRule="auto"/>
        <w:rPr>
          <w:rFonts w:ascii="宋体" w:hAnsi="宋体" w:cs="宋体"/>
          <w:color w:val="auto"/>
          <w:sz w:val="24"/>
          <w:szCs w:val="24"/>
        </w:rPr>
      </w:pPr>
    </w:p>
    <w:p>
      <w:pPr>
        <w:spacing w:line="360" w:lineRule="auto"/>
        <w:rPr>
          <w:rFonts w:ascii="宋体" w:hAnsi="宋体" w:cs="宋体"/>
          <w:b/>
          <w:color w:val="auto"/>
          <w:sz w:val="24"/>
          <w:szCs w:val="24"/>
        </w:rPr>
      </w:pPr>
      <w:r>
        <w:rPr>
          <w:rFonts w:hint="eastAsia" w:ascii="宋体" w:hAnsi="宋体" w:cs="宋体"/>
          <w:b/>
          <w:color w:val="auto"/>
          <w:sz w:val="24"/>
          <w:szCs w:val="24"/>
        </w:rPr>
        <w:t>二、现场查勘</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1、公司接到报案后需要进行现场查勘的，应立即指派专门人员到达事故现场，市区内应在半小时内，郊区应在1小时内到达。</w:t>
      </w:r>
    </w:p>
    <w:p>
      <w:pPr>
        <w:spacing w:line="360" w:lineRule="auto"/>
        <w:ind w:firstLine="480" w:firstLineChars="200"/>
        <w:rPr>
          <w:rFonts w:ascii="宋体" w:hAnsi="宋体" w:cs="宋体"/>
          <w:b/>
          <w:color w:val="auto"/>
          <w:sz w:val="24"/>
          <w:szCs w:val="24"/>
        </w:rPr>
      </w:pPr>
      <w:r>
        <w:rPr>
          <w:rFonts w:hint="eastAsia" w:ascii="宋体" w:hAnsi="宋体" w:cs="宋体"/>
          <w:color w:val="auto"/>
          <w:sz w:val="24"/>
          <w:szCs w:val="24"/>
        </w:rPr>
        <w:t>2、如保险公司无法按照约定时间到达事故现场，应以被保险人提供的现场照片、损失清单、事故说明、修理发票及其他证明材料作为赔付理算依据。</w:t>
      </w:r>
    </w:p>
    <w:p>
      <w:pPr>
        <w:numPr>
          <w:ilvl w:val="0"/>
          <w:numId w:val="8"/>
        </w:numPr>
        <w:spacing w:line="360" w:lineRule="auto"/>
        <w:rPr>
          <w:rFonts w:ascii="宋体" w:hAnsi="宋体" w:cs="宋体"/>
          <w:b/>
          <w:color w:val="auto"/>
          <w:sz w:val="24"/>
          <w:szCs w:val="24"/>
        </w:rPr>
      </w:pPr>
      <w:r>
        <w:rPr>
          <w:rFonts w:hint="eastAsia" w:ascii="宋体" w:hAnsi="宋体" w:cs="宋体"/>
          <w:b/>
          <w:color w:val="auto"/>
          <w:sz w:val="24"/>
          <w:szCs w:val="24"/>
        </w:rPr>
        <w:t>机动车辆保险理赔约定</w:t>
      </w:r>
    </w:p>
    <w:p>
      <w:pPr>
        <w:numPr>
          <w:ilvl w:val="0"/>
          <w:numId w:val="15"/>
        </w:num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保险机动车发生意外事故，未经交警认定事故责任但由双方初步协商判定被保险人承担全部或者部分责任时，保险人按本协议在保险赔偿限额内负责赔偿。</w:t>
      </w:r>
    </w:p>
    <w:p>
      <w:pPr>
        <w:numPr>
          <w:ilvl w:val="0"/>
          <w:numId w:val="15"/>
        </w:num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发生保险事故导致被保险人被提起仲裁或诉讼，对应由甲方支付的仲裁或诉讼费、经保险人事先书面同意的律师费、执行费以及其他费用，保险人负责赔偿；发生保险事故产生的检验费、鉴定费、评估费，保险人负责赔偿。此项不实行免赔。</w:t>
      </w:r>
    </w:p>
    <w:p>
      <w:pPr>
        <w:numPr>
          <w:ilvl w:val="0"/>
          <w:numId w:val="15"/>
        </w:num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对交通事故中因保险事故造成人员受伤在县级以上医院所产生的医疗费（含非医保药品）以及在县级以下医院的抢救费，保险人同意属交强险限额部分的按100%赔付；属商业险范围的按85%的比例赔付。</w:t>
      </w:r>
    </w:p>
    <w:p>
      <w:pPr>
        <w:spacing w:line="560" w:lineRule="exact"/>
        <w:ind w:left="560"/>
        <w:rPr>
          <w:rFonts w:ascii="宋体" w:hAnsi="宋体" w:cs="宋体"/>
          <w:color w:val="auto"/>
          <w:sz w:val="24"/>
          <w:szCs w:val="24"/>
        </w:rPr>
      </w:pPr>
      <w:r>
        <w:rPr>
          <w:rFonts w:hint="eastAsia" w:ascii="宋体" w:hAnsi="宋体" w:cs="宋体"/>
          <w:color w:val="auto"/>
          <w:sz w:val="24"/>
          <w:szCs w:val="24"/>
        </w:rPr>
        <w:t>5、继续治疗费、二次手术理赔约定</w:t>
      </w:r>
    </w:p>
    <w:p>
      <w:p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发生人伤事故，对于伤者根据医院的诊疗意见发生的出院后继续治疗费用，乙方同意赔偿，原则不超过医疗费总额的30%。</w:t>
      </w:r>
    </w:p>
    <w:p>
      <w:p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二次手术费用，乙方同意，可参照医院证明或司法评估机构出具的报告，予以协商，给予支付。</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被保险人发生第三者人身受伤或财产损失的事故，每次损失金额在5000元（含）以下的事故，由被保险人向乙方24小时服务专线电话（***）备案后全权处理，被保险人需提供清晰明确的现场事故视频或照片，若无相关影像资料则需提供交警事故认定书。其中人伤案件医疗费用给付应以费用凭证为据且不得超过3000元（含），一次性现金补偿金额不得超过2000元（含）。乙方应对被保险人在以上金额内全权处理的案件予以认可。</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7、对于属于保险责任范围内的事故，事故责任全部或部分由第三方造成，在符合代位追偿条件要求的前提下，保险公司应按照本协议规定在保险金额范围内先予赔偿被保险人的损失，被保险人将代位追偿权利转让给保险公司，在赔偿金额范围内由保险公司代位行使追偿权，被保险人应协助保险公司向第三方进行追偿。</w:t>
      </w:r>
    </w:p>
    <w:p>
      <w:pPr>
        <w:numPr>
          <w:ilvl w:val="0"/>
          <w:numId w:val="8"/>
        </w:numPr>
        <w:spacing w:line="360" w:lineRule="auto"/>
        <w:rPr>
          <w:rFonts w:ascii="宋体" w:hAnsi="宋体" w:cs="宋体"/>
          <w:b/>
          <w:color w:val="auto"/>
          <w:sz w:val="24"/>
          <w:szCs w:val="24"/>
        </w:rPr>
      </w:pPr>
      <w:r>
        <w:rPr>
          <w:rFonts w:hint="eastAsia" w:ascii="宋体" w:hAnsi="宋体" w:cs="宋体"/>
          <w:b/>
          <w:color w:val="auto"/>
          <w:sz w:val="24"/>
          <w:szCs w:val="24"/>
        </w:rPr>
        <w:t>道路客运承运人责任保险理赔约定</w:t>
      </w:r>
    </w:p>
    <w:p>
      <w:pPr>
        <w:numPr>
          <w:ilvl w:val="0"/>
          <w:numId w:val="16"/>
        </w:numPr>
        <w:tabs>
          <w:tab w:val="left" w:pos="180"/>
          <w:tab w:val="left" w:pos="900"/>
        </w:tabs>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乘客在乘坐保险机动车过程中发生意外伤害事故，致使乘客遭受人身伤亡，无法认定是否属于被保险人责任时，保险人按保险条款在保险赔偿限额内负责赔偿。</w:t>
      </w:r>
    </w:p>
    <w:p>
      <w:pPr>
        <w:numPr>
          <w:ilvl w:val="0"/>
          <w:numId w:val="16"/>
        </w:numPr>
        <w:tabs>
          <w:tab w:val="left" w:pos="0"/>
          <w:tab w:val="left" w:pos="360"/>
        </w:tabs>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赔偿依据：保险机动车发生保险事故造成乘客的人身伤亡时，按照《最高人民法院关于审理人身损害赔偿案件适用法律若干问题的解释》〔法释（２００３）２０号〕规定的赔偿范围、项目和标准，在本协议载明的赔偿限额内进行赔偿，但每次事故每人最高赔偿金额不得超过本协议约定的每人赔偿限额。</w:t>
      </w:r>
    </w:p>
    <w:p>
      <w:pPr>
        <w:numPr>
          <w:ilvl w:val="0"/>
          <w:numId w:val="16"/>
        </w:num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乘客人伤事故核损中，乙方对于在伤者治疗期间的非医保目录用药予以认可（非对症用药除外）。甲方在处理伤者治疗中，应尽量协助乙方做好医疗费用控制工作。</w:t>
      </w:r>
    </w:p>
    <w:p>
      <w:pPr>
        <w:numPr>
          <w:ilvl w:val="0"/>
          <w:numId w:val="16"/>
        </w:num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乘客人伤每人次损失金额在3000元（含）以下的事故，由被保险人向乙方24小时服务专线电话（***）备案后全权处理，被保险人需提供清晰明确的现场事故视频或照片，若无相关影像资料则需提供交警事故认定书。其中医疗费用给付应以费用凭证为据且不得超过2000元（含），一次性现金补偿金额不得超过2000元（含）。乙方应对被保险人在以上金额内全权处理的案件予以认可。</w:t>
      </w:r>
    </w:p>
    <w:p>
      <w:pPr>
        <w:numPr>
          <w:ilvl w:val="0"/>
          <w:numId w:val="16"/>
        </w:num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乘客人伤需紧急救治的，甲方可及时将伤者就近送入医疗机构，同时通知乙方，乙方应派员及时赶往事故现场和医疗机构了解人员救治及处理情况，全程跟踪案件处理进程，应甲方的要求，乙方应在预估限额内先行垫付医疗费用，并参与协助被保险人与第三方调解或诉讼事宜。</w:t>
      </w:r>
    </w:p>
    <w:p>
      <w:pPr>
        <w:numPr>
          <w:ilvl w:val="0"/>
          <w:numId w:val="16"/>
        </w:num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索赔单证</w:t>
      </w:r>
    </w:p>
    <w:p>
      <w:pPr>
        <w:spacing w:line="360" w:lineRule="auto"/>
        <w:rPr>
          <w:rFonts w:ascii="宋体" w:hAnsi="宋体" w:cs="宋体"/>
          <w:color w:val="auto"/>
          <w:sz w:val="24"/>
          <w:szCs w:val="24"/>
        </w:rPr>
      </w:pPr>
      <w:r>
        <w:rPr>
          <w:rFonts w:hint="eastAsia" w:ascii="宋体" w:hAnsi="宋体" w:cs="宋体"/>
          <w:color w:val="auto"/>
          <w:sz w:val="24"/>
          <w:szCs w:val="24"/>
        </w:rPr>
        <w:t xml:space="preserve">  （1）授权理赔的小额赔案（赔款金额3000元及以下）</w:t>
      </w:r>
    </w:p>
    <w:p>
      <w:pPr>
        <w:numPr>
          <w:ilvl w:val="0"/>
          <w:numId w:val="9"/>
        </w:numPr>
        <w:spacing w:line="360" w:lineRule="auto"/>
        <w:ind w:left="845"/>
        <w:rPr>
          <w:rFonts w:ascii="宋体" w:hAnsi="宋体" w:cs="宋体"/>
          <w:color w:val="auto"/>
          <w:sz w:val="24"/>
          <w:szCs w:val="24"/>
        </w:rPr>
      </w:pPr>
      <w:r>
        <w:rPr>
          <w:rFonts w:hint="eastAsia" w:ascii="宋体" w:hAnsi="宋体" w:cs="宋体"/>
          <w:color w:val="auto"/>
          <w:sz w:val="24"/>
          <w:szCs w:val="24"/>
        </w:rPr>
        <w:t>索赔申请书及委托书；</w:t>
      </w:r>
    </w:p>
    <w:p>
      <w:pPr>
        <w:numPr>
          <w:ilvl w:val="0"/>
          <w:numId w:val="9"/>
        </w:numPr>
        <w:spacing w:line="360" w:lineRule="auto"/>
        <w:ind w:left="845"/>
        <w:rPr>
          <w:rFonts w:ascii="宋体" w:hAnsi="宋体" w:cs="宋体"/>
          <w:color w:val="auto"/>
          <w:sz w:val="24"/>
          <w:szCs w:val="24"/>
        </w:rPr>
      </w:pPr>
      <w:r>
        <w:rPr>
          <w:rFonts w:hint="eastAsia" w:ascii="宋体" w:hAnsi="宋体" w:cs="宋体"/>
          <w:color w:val="auto"/>
          <w:sz w:val="24"/>
          <w:szCs w:val="24"/>
        </w:rPr>
        <w:t>伤者身份证明、联系方式、伤者照片，至少应提供其中一项；</w:t>
      </w:r>
    </w:p>
    <w:p>
      <w:pPr>
        <w:numPr>
          <w:ilvl w:val="0"/>
          <w:numId w:val="9"/>
        </w:numPr>
        <w:spacing w:line="360" w:lineRule="auto"/>
        <w:ind w:left="845"/>
        <w:rPr>
          <w:rFonts w:ascii="宋体" w:hAnsi="宋体" w:cs="宋体"/>
          <w:color w:val="auto"/>
          <w:sz w:val="24"/>
          <w:szCs w:val="24"/>
        </w:rPr>
      </w:pPr>
      <w:r>
        <w:rPr>
          <w:rFonts w:hint="eastAsia" w:ascii="宋体" w:hAnsi="宋体" w:cs="宋体"/>
          <w:color w:val="auto"/>
          <w:sz w:val="24"/>
          <w:szCs w:val="24"/>
        </w:rPr>
        <w:t>事故现场照片；</w:t>
      </w:r>
    </w:p>
    <w:p>
      <w:pPr>
        <w:numPr>
          <w:ilvl w:val="0"/>
          <w:numId w:val="9"/>
        </w:numPr>
        <w:spacing w:line="360" w:lineRule="auto"/>
        <w:ind w:left="845"/>
        <w:rPr>
          <w:rFonts w:ascii="宋体" w:hAnsi="宋体" w:cs="宋体"/>
          <w:color w:val="auto"/>
          <w:sz w:val="24"/>
          <w:szCs w:val="24"/>
        </w:rPr>
      </w:pPr>
      <w:r>
        <w:rPr>
          <w:rFonts w:hint="eastAsia" w:ascii="宋体" w:hAnsi="宋体" w:cs="宋体"/>
          <w:color w:val="auto"/>
          <w:sz w:val="24"/>
          <w:szCs w:val="24"/>
        </w:rPr>
        <w:t>伤者赔偿收据及医疗费用凭证、清单、病历；</w:t>
      </w:r>
    </w:p>
    <w:p>
      <w:pPr>
        <w:numPr>
          <w:ilvl w:val="0"/>
          <w:numId w:val="9"/>
        </w:numPr>
        <w:spacing w:line="360" w:lineRule="auto"/>
        <w:ind w:left="845"/>
        <w:rPr>
          <w:rFonts w:ascii="宋体" w:hAnsi="宋体" w:cs="宋体"/>
          <w:color w:val="auto"/>
          <w:sz w:val="24"/>
          <w:szCs w:val="24"/>
        </w:rPr>
      </w:pPr>
      <w:r>
        <w:rPr>
          <w:rFonts w:hint="eastAsia" w:ascii="宋体" w:hAnsi="宋体" w:cs="宋体"/>
          <w:color w:val="auto"/>
          <w:sz w:val="24"/>
          <w:szCs w:val="24"/>
        </w:rPr>
        <w:t>被保险人出具的事故经过报告；</w:t>
      </w:r>
    </w:p>
    <w:p>
      <w:pPr>
        <w:numPr>
          <w:ilvl w:val="0"/>
          <w:numId w:val="9"/>
        </w:numPr>
        <w:spacing w:line="360" w:lineRule="auto"/>
        <w:ind w:left="845"/>
        <w:rPr>
          <w:rFonts w:ascii="宋体" w:hAnsi="宋体" w:cs="宋体"/>
          <w:color w:val="auto"/>
          <w:sz w:val="24"/>
          <w:szCs w:val="24"/>
        </w:rPr>
      </w:pPr>
      <w:r>
        <w:rPr>
          <w:rFonts w:hint="eastAsia" w:ascii="宋体" w:hAnsi="宋体" w:cs="宋体"/>
          <w:color w:val="auto"/>
          <w:sz w:val="24"/>
          <w:szCs w:val="24"/>
        </w:rPr>
        <w:t>行驶证、驾驶证复印件。</w:t>
      </w:r>
    </w:p>
    <w:p>
      <w:pPr>
        <w:spacing w:line="360" w:lineRule="auto"/>
        <w:rPr>
          <w:rFonts w:ascii="宋体" w:hAnsi="宋体" w:cs="宋体"/>
          <w:color w:val="auto"/>
          <w:sz w:val="24"/>
          <w:szCs w:val="24"/>
        </w:rPr>
      </w:pPr>
      <w:r>
        <w:rPr>
          <w:rFonts w:hint="eastAsia" w:ascii="宋体" w:hAnsi="宋体" w:cs="宋体"/>
          <w:color w:val="auto"/>
          <w:sz w:val="24"/>
          <w:szCs w:val="24"/>
        </w:rPr>
        <w:t xml:space="preserve">  （2）赔款金额在3000元以上的赔案</w:t>
      </w:r>
    </w:p>
    <w:p>
      <w:pPr>
        <w:numPr>
          <w:ilvl w:val="0"/>
          <w:numId w:val="10"/>
        </w:numPr>
        <w:tabs>
          <w:tab w:val="clear" w:pos="425"/>
        </w:tabs>
        <w:spacing w:line="360" w:lineRule="auto"/>
        <w:ind w:left="845"/>
        <w:rPr>
          <w:rFonts w:ascii="宋体" w:hAnsi="宋体" w:cs="宋体"/>
          <w:color w:val="auto"/>
          <w:sz w:val="24"/>
          <w:szCs w:val="24"/>
        </w:rPr>
      </w:pPr>
      <w:r>
        <w:rPr>
          <w:rFonts w:hint="eastAsia" w:ascii="宋体" w:hAnsi="宋体" w:cs="宋体"/>
          <w:color w:val="auto"/>
          <w:sz w:val="24"/>
          <w:szCs w:val="24"/>
        </w:rPr>
        <w:t>索赔申请书及委托书；</w:t>
      </w:r>
    </w:p>
    <w:p>
      <w:pPr>
        <w:numPr>
          <w:ilvl w:val="0"/>
          <w:numId w:val="10"/>
        </w:numPr>
        <w:tabs>
          <w:tab w:val="clear" w:pos="425"/>
        </w:tabs>
        <w:spacing w:line="360" w:lineRule="auto"/>
        <w:ind w:left="845"/>
        <w:rPr>
          <w:rFonts w:ascii="宋体" w:hAnsi="宋体" w:cs="宋体"/>
          <w:color w:val="auto"/>
          <w:sz w:val="24"/>
          <w:szCs w:val="24"/>
        </w:rPr>
      </w:pPr>
      <w:r>
        <w:rPr>
          <w:rFonts w:hint="eastAsia" w:ascii="宋体" w:hAnsi="宋体" w:cs="宋体"/>
          <w:color w:val="auto"/>
          <w:sz w:val="24"/>
          <w:szCs w:val="24"/>
        </w:rPr>
        <w:t>甲方出具的事故经过报告或相关事故证明；</w:t>
      </w:r>
    </w:p>
    <w:p>
      <w:pPr>
        <w:numPr>
          <w:ilvl w:val="0"/>
          <w:numId w:val="10"/>
        </w:numPr>
        <w:tabs>
          <w:tab w:val="clear" w:pos="425"/>
        </w:tabs>
        <w:spacing w:line="360" w:lineRule="auto"/>
        <w:ind w:left="845"/>
        <w:rPr>
          <w:rFonts w:ascii="宋体" w:hAnsi="宋体" w:cs="宋体"/>
          <w:color w:val="auto"/>
          <w:sz w:val="24"/>
          <w:szCs w:val="24"/>
        </w:rPr>
      </w:pPr>
      <w:r>
        <w:rPr>
          <w:rFonts w:hint="eastAsia" w:ascii="宋体" w:hAnsi="宋体" w:cs="宋体"/>
          <w:color w:val="auto"/>
          <w:sz w:val="24"/>
          <w:szCs w:val="24"/>
        </w:rPr>
        <w:t>医院就诊单据，包括病历、发票、出院小结、用药清单等；</w:t>
      </w:r>
    </w:p>
    <w:p>
      <w:pPr>
        <w:numPr>
          <w:ilvl w:val="0"/>
          <w:numId w:val="10"/>
        </w:numPr>
        <w:tabs>
          <w:tab w:val="clear" w:pos="425"/>
        </w:tabs>
        <w:spacing w:line="360" w:lineRule="auto"/>
        <w:ind w:left="845"/>
        <w:rPr>
          <w:rFonts w:ascii="宋体" w:hAnsi="宋体" w:cs="宋体"/>
          <w:color w:val="auto"/>
          <w:sz w:val="24"/>
          <w:szCs w:val="24"/>
        </w:rPr>
      </w:pPr>
      <w:r>
        <w:rPr>
          <w:rFonts w:hint="eastAsia" w:ascii="宋体" w:hAnsi="宋体" w:cs="宋体"/>
          <w:color w:val="auto"/>
          <w:sz w:val="24"/>
          <w:szCs w:val="24"/>
        </w:rPr>
        <w:t>伤者伤残时，需提供伤残等级证明；</w:t>
      </w:r>
    </w:p>
    <w:p>
      <w:pPr>
        <w:numPr>
          <w:ilvl w:val="0"/>
          <w:numId w:val="10"/>
        </w:numPr>
        <w:tabs>
          <w:tab w:val="clear" w:pos="425"/>
        </w:tabs>
        <w:spacing w:line="360" w:lineRule="auto"/>
        <w:ind w:left="845"/>
        <w:rPr>
          <w:rFonts w:ascii="宋体" w:hAnsi="宋体" w:cs="宋体"/>
          <w:color w:val="auto"/>
          <w:sz w:val="24"/>
          <w:szCs w:val="24"/>
        </w:rPr>
      </w:pPr>
      <w:r>
        <w:rPr>
          <w:rFonts w:hint="eastAsia" w:ascii="宋体" w:hAnsi="宋体" w:cs="宋体"/>
          <w:color w:val="auto"/>
          <w:sz w:val="24"/>
          <w:szCs w:val="24"/>
        </w:rPr>
        <w:t>伤者死亡时，需提供死亡证明及户籍注销证明；</w:t>
      </w:r>
    </w:p>
    <w:p>
      <w:pPr>
        <w:numPr>
          <w:ilvl w:val="0"/>
          <w:numId w:val="10"/>
        </w:numPr>
        <w:tabs>
          <w:tab w:val="clear" w:pos="425"/>
        </w:tabs>
        <w:spacing w:line="360" w:lineRule="auto"/>
        <w:ind w:left="845"/>
        <w:rPr>
          <w:rFonts w:ascii="宋体" w:hAnsi="宋体" w:cs="宋体"/>
          <w:color w:val="auto"/>
          <w:sz w:val="24"/>
          <w:szCs w:val="24"/>
        </w:rPr>
      </w:pPr>
      <w:r>
        <w:rPr>
          <w:rFonts w:hint="eastAsia" w:ascii="宋体" w:hAnsi="宋体" w:cs="宋体"/>
          <w:color w:val="auto"/>
          <w:sz w:val="24"/>
          <w:szCs w:val="24"/>
        </w:rPr>
        <w:t>涉及被抚养人生活费的赔偿时，需提供被抚养人的有关证明；</w:t>
      </w:r>
    </w:p>
    <w:p>
      <w:pPr>
        <w:numPr>
          <w:ilvl w:val="0"/>
          <w:numId w:val="10"/>
        </w:numPr>
        <w:tabs>
          <w:tab w:val="clear" w:pos="425"/>
        </w:tabs>
        <w:spacing w:line="360" w:lineRule="auto"/>
        <w:ind w:left="845"/>
        <w:rPr>
          <w:rFonts w:ascii="宋体" w:hAnsi="宋体" w:cs="宋体"/>
          <w:color w:val="auto"/>
          <w:sz w:val="24"/>
          <w:szCs w:val="24"/>
        </w:rPr>
      </w:pPr>
      <w:r>
        <w:rPr>
          <w:rFonts w:hint="eastAsia" w:ascii="宋体" w:hAnsi="宋体" w:cs="宋体"/>
          <w:color w:val="auto"/>
          <w:sz w:val="24"/>
          <w:szCs w:val="24"/>
        </w:rPr>
        <w:t>被保险人与伤者的赔偿协议、赔偿凭证或法院仲裁机构的判决书；</w:t>
      </w:r>
    </w:p>
    <w:p>
      <w:pPr>
        <w:numPr>
          <w:ilvl w:val="0"/>
          <w:numId w:val="10"/>
        </w:numPr>
        <w:tabs>
          <w:tab w:val="clear" w:pos="425"/>
        </w:tabs>
        <w:spacing w:line="360" w:lineRule="auto"/>
        <w:ind w:left="845"/>
        <w:rPr>
          <w:rFonts w:ascii="宋体" w:hAnsi="宋体" w:cs="宋体"/>
          <w:color w:val="auto"/>
          <w:sz w:val="24"/>
          <w:szCs w:val="24"/>
        </w:rPr>
      </w:pPr>
      <w:r>
        <w:rPr>
          <w:rFonts w:hint="eastAsia" w:ascii="宋体" w:hAnsi="宋体" w:cs="宋体"/>
          <w:color w:val="auto"/>
          <w:sz w:val="24"/>
          <w:szCs w:val="24"/>
        </w:rPr>
        <w:t>符合其它赔偿项目及标准的索赔单据；</w:t>
      </w:r>
    </w:p>
    <w:p>
      <w:pPr>
        <w:numPr>
          <w:ilvl w:val="0"/>
          <w:numId w:val="10"/>
        </w:numPr>
        <w:tabs>
          <w:tab w:val="clear" w:pos="425"/>
        </w:tabs>
        <w:spacing w:line="360" w:lineRule="auto"/>
        <w:ind w:left="845"/>
        <w:rPr>
          <w:rFonts w:ascii="宋体" w:hAnsi="宋体" w:cs="宋体"/>
          <w:color w:val="auto"/>
          <w:sz w:val="24"/>
          <w:szCs w:val="24"/>
        </w:rPr>
      </w:pPr>
      <w:r>
        <w:rPr>
          <w:rFonts w:hint="eastAsia" w:ascii="宋体" w:hAnsi="宋体" w:cs="宋体"/>
          <w:color w:val="auto"/>
          <w:sz w:val="24"/>
          <w:szCs w:val="24"/>
        </w:rPr>
        <w:t>行驶证、驾驶证复印件；</w:t>
      </w:r>
    </w:p>
    <w:p>
      <w:pPr>
        <w:numPr>
          <w:ilvl w:val="0"/>
          <w:numId w:val="10"/>
        </w:numPr>
        <w:tabs>
          <w:tab w:val="clear" w:pos="425"/>
        </w:tabs>
        <w:spacing w:line="360" w:lineRule="auto"/>
        <w:ind w:left="845"/>
        <w:rPr>
          <w:rFonts w:ascii="宋体" w:hAnsi="宋体" w:cs="宋体"/>
          <w:color w:val="auto"/>
          <w:sz w:val="24"/>
          <w:szCs w:val="24"/>
        </w:rPr>
      </w:pPr>
      <w:r>
        <w:rPr>
          <w:rFonts w:hint="eastAsia" w:ascii="宋体" w:hAnsi="宋体" w:cs="宋体"/>
          <w:color w:val="auto"/>
          <w:sz w:val="24"/>
          <w:szCs w:val="24"/>
        </w:rPr>
        <w:t>伤者身份证复印件。</w:t>
      </w:r>
    </w:p>
    <w:p>
      <w:pPr>
        <w:spacing w:line="560" w:lineRule="exact"/>
        <w:ind w:left="560"/>
        <w:rPr>
          <w:rFonts w:ascii="宋体" w:hAnsi="宋体" w:cs="宋体"/>
          <w:color w:val="auto"/>
          <w:sz w:val="24"/>
          <w:szCs w:val="24"/>
        </w:rPr>
      </w:pPr>
      <w:r>
        <w:rPr>
          <w:rFonts w:hint="eastAsia" w:ascii="宋体" w:hAnsi="宋体" w:cs="宋体"/>
          <w:color w:val="auto"/>
          <w:sz w:val="24"/>
          <w:szCs w:val="24"/>
        </w:rPr>
        <w:t>7.无责赔付</w:t>
      </w:r>
    </w:p>
    <w:p>
      <w:p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在保险期间，发生保险事故造成旅客的人身伤亡或财产损失，在被保险人无责的情况下，保险人同意先行垫付赔款，并从被保险人处取得代位追偿权，向责任方进行追偿。</w:t>
      </w:r>
    </w:p>
    <w:p>
      <w:pPr>
        <w:adjustRightInd w:val="0"/>
        <w:spacing w:line="560" w:lineRule="exact"/>
        <w:ind w:firstLine="420"/>
        <w:rPr>
          <w:rFonts w:ascii="宋体" w:hAnsi="宋体" w:cs="宋体"/>
          <w:color w:val="auto"/>
          <w:kern w:val="0"/>
          <w:sz w:val="24"/>
          <w:szCs w:val="24"/>
        </w:rPr>
      </w:pPr>
      <w:r>
        <w:rPr>
          <w:rFonts w:hint="eastAsia" w:ascii="宋体" w:hAnsi="宋体" w:cs="宋体"/>
          <w:color w:val="auto"/>
          <w:sz w:val="24"/>
          <w:szCs w:val="24"/>
        </w:rPr>
        <w:t>8.</w:t>
      </w:r>
      <w:r>
        <w:rPr>
          <w:rFonts w:hint="eastAsia" w:ascii="宋体" w:hAnsi="宋体" w:cs="宋体"/>
          <w:color w:val="auto"/>
          <w:kern w:val="0"/>
          <w:sz w:val="24"/>
          <w:szCs w:val="24"/>
        </w:rPr>
        <w:t>法律救援服务</w:t>
      </w:r>
    </w:p>
    <w:p>
      <w:pPr>
        <w:adjustRightInd w:val="0"/>
        <w:spacing w:line="560" w:lineRule="exact"/>
        <w:ind w:firstLine="480" w:firstLineChars="200"/>
        <w:rPr>
          <w:rFonts w:ascii="宋体" w:hAnsi="宋体" w:cs="宋体"/>
          <w:color w:val="auto"/>
          <w:sz w:val="24"/>
          <w:szCs w:val="24"/>
        </w:rPr>
      </w:pPr>
      <w:r>
        <w:rPr>
          <w:rFonts w:hint="eastAsia" w:ascii="宋体" w:hAnsi="宋体" w:cs="宋体"/>
          <w:color w:val="auto"/>
          <w:kern w:val="0"/>
          <w:sz w:val="24"/>
          <w:szCs w:val="24"/>
        </w:rPr>
        <w:t>甲方被保险人投保车辆发生事故后，如产生与第三方的法律诉讼，乙方可应甲方的需求提供法律咨询服务，并可根据案情为甲方推荐具有专长的律师，甲方被保险人依法承担的法律费用，乙方负责赔偿。</w:t>
      </w:r>
    </w:p>
    <w:p>
      <w:pPr>
        <w:numPr>
          <w:ilvl w:val="0"/>
          <w:numId w:val="8"/>
        </w:numPr>
        <w:spacing w:line="360" w:lineRule="auto"/>
        <w:rPr>
          <w:rFonts w:ascii="宋体" w:hAnsi="宋体" w:cs="宋体"/>
          <w:b/>
          <w:color w:val="auto"/>
          <w:sz w:val="24"/>
          <w:szCs w:val="24"/>
        </w:rPr>
      </w:pPr>
      <w:r>
        <w:rPr>
          <w:rFonts w:hint="eastAsia" w:ascii="宋体" w:hAnsi="宋体" w:cs="宋体"/>
          <w:b/>
          <w:color w:val="auto"/>
          <w:sz w:val="24"/>
          <w:szCs w:val="24"/>
        </w:rPr>
        <w:t>预付赔款</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被保险人在保险期限内合法使用保险车辆的过程中，发生保险事故，造成车上人员或第三者人身伤害，需紧急抢救，应被保险人的要求，乙方应在交强险责任限额范围内支付抢救费用。超出交强险限额外的损失，在赔偿金额尚不能确定的情况下，由被保险人提出申请，乙方应当根据已有证明和资料可以确定的金额予以预付赔款，以利于伤者救治。乙方最终确定赔偿金额后，应当支付相应的差额。乙方同意自被保险人提出申请之日起在3个工作日内，将上述预付赔款支付给被保险人。在同一案件处理过程中，乙方同意根据事故处理需要多次支付预付赔款。</w:t>
      </w:r>
    </w:p>
    <w:p>
      <w:pPr>
        <w:pStyle w:val="9"/>
        <w:spacing w:line="360" w:lineRule="auto"/>
        <w:ind w:firstLine="0"/>
        <w:rPr>
          <w:rFonts w:ascii="宋体" w:hAnsi="宋体" w:cs="宋体"/>
          <w:b/>
          <w:color w:val="auto"/>
          <w:sz w:val="24"/>
          <w:szCs w:val="24"/>
        </w:rPr>
      </w:pPr>
      <w:r>
        <w:rPr>
          <w:rFonts w:hint="eastAsia" w:ascii="宋体" w:hAnsi="宋体" w:cs="宋体"/>
          <w:b/>
          <w:color w:val="auto"/>
          <w:sz w:val="24"/>
          <w:szCs w:val="24"/>
        </w:rPr>
        <w:t>七、定期提供理赔统计报表</w:t>
      </w:r>
    </w:p>
    <w:p>
      <w:pPr>
        <w:pStyle w:val="9"/>
        <w:spacing w:line="360" w:lineRule="auto"/>
        <w:ind w:firstLine="480" w:firstLineChars="200"/>
        <w:rPr>
          <w:rFonts w:ascii="宋体" w:hAnsi="宋体" w:cs="宋体"/>
          <w:b/>
          <w:color w:val="auto"/>
          <w:sz w:val="24"/>
          <w:szCs w:val="24"/>
        </w:rPr>
      </w:pPr>
      <w:r>
        <w:rPr>
          <w:rFonts w:hint="eastAsia" w:ascii="宋体" w:hAnsi="宋体" w:cs="宋体"/>
          <w:color w:val="auto"/>
          <w:sz w:val="24"/>
          <w:szCs w:val="24"/>
        </w:rPr>
        <w:t>保险公司负责每季度或应被保险人要求随时向被保险人提供分险种理赔统计报表，报表应包括损失发生的时间、地点、损失原因、估损金额、定损金额、赔款等与赔案处理有关的信息（具体格式由被保险人提供）。</w:t>
      </w:r>
    </w:p>
    <w:p>
      <w:pPr>
        <w:spacing w:line="360" w:lineRule="auto"/>
        <w:rPr>
          <w:rFonts w:ascii="宋体" w:hAnsi="宋体" w:cs="宋体"/>
          <w:b/>
          <w:color w:val="auto"/>
          <w:sz w:val="24"/>
          <w:szCs w:val="24"/>
        </w:rPr>
      </w:pPr>
      <w:r>
        <w:rPr>
          <w:rFonts w:hint="eastAsia" w:ascii="宋体" w:hAnsi="宋体" w:cs="宋体"/>
          <w:b/>
          <w:color w:val="auto"/>
          <w:sz w:val="24"/>
          <w:szCs w:val="24"/>
        </w:rPr>
        <w:t>八、其他服务承诺</w:t>
      </w:r>
    </w:p>
    <w:p>
      <w:pPr>
        <w:spacing w:line="360" w:lineRule="auto"/>
        <w:rPr>
          <w:rFonts w:ascii="宋体" w:hAnsi="宋体" w:cs="宋体"/>
          <w:bCs/>
          <w:color w:val="auto"/>
          <w:sz w:val="24"/>
          <w:szCs w:val="24"/>
        </w:rPr>
      </w:pPr>
      <w:r>
        <w:rPr>
          <w:rFonts w:hint="eastAsia" w:ascii="宋体" w:hAnsi="宋体" w:cs="宋体"/>
          <w:bCs/>
          <w:color w:val="auto"/>
          <w:sz w:val="24"/>
          <w:szCs w:val="24"/>
        </w:rPr>
        <w:t>1、索赔材料递交</w:t>
      </w:r>
    </w:p>
    <w:p>
      <w:p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对于非道路交通事故，被保险人可不必向出单公司提供交通管理部门或相关部门的事故证明，但被保险人有义务配合保险公司进行事故调查。</w:t>
      </w:r>
    </w:p>
    <w:p>
      <w:pPr>
        <w:spacing w:line="560" w:lineRule="exact"/>
        <w:rPr>
          <w:rFonts w:ascii="宋体" w:hAnsi="宋体" w:cs="宋体"/>
          <w:color w:val="auto"/>
          <w:sz w:val="24"/>
          <w:szCs w:val="24"/>
        </w:rPr>
      </w:pPr>
      <w:r>
        <w:rPr>
          <w:rFonts w:hint="eastAsia" w:ascii="宋体" w:hAnsi="宋体" w:cs="宋体"/>
          <w:color w:val="auto"/>
          <w:sz w:val="24"/>
          <w:szCs w:val="24"/>
        </w:rPr>
        <w:t>2、索赔材料审核时限</w:t>
      </w:r>
    </w:p>
    <w:p>
      <w:p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出单公司收到甲方被保险人提交的索赔资料后应及时审核，如认为有关证明或材料不完整，应及时以书面形式一次性告知应补充提供的有关证明或材料。若出单公司在接到索赔资料后2个工作日内（特殊情况下不超过5个工作日）未给予有关审核意见，则视为出单公司认可索赔资料完整。</w:t>
      </w:r>
    </w:p>
    <w:p>
      <w:pPr>
        <w:spacing w:line="560" w:lineRule="exact"/>
        <w:rPr>
          <w:rFonts w:ascii="宋体" w:hAnsi="宋体" w:cs="宋体"/>
          <w:color w:val="auto"/>
          <w:sz w:val="24"/>
          <w:szCs w:val="24"/>
        </w:rPr>
      </w:pPr>
      <w:r>
        <w:rPr>
          <w:rFonts w:hint="eastAsia" w:ascii="宋体" w:hAnsi="宋体" w:cs="宋体"/>
          <w:color w:val="auto"/>
          <w:sz w:val="24"/>
          <w:szCs w:val="24"/>
        </w:rPr>
        <w:t>3、定损核赔时限</w:t>
      </w:r>
    </w:p>
    <w:p>
      <w:pPr>
        <w:autoSpaceDE w:val="0"/>
        <w:autoSpaceDN w:val="0"/>
        <w:adjustRightInd w:val="0"/>
        <w:spacing w:line="560" w:lineRule="exact"/>
        <w:ind w:firstLine="560"/>
        <w:rPr>
          <w:rFonts w:ascii="宋体" w:hAnsi="宋体" w:cs="宋体"/>
          <w:color w:val="auto"/>
          <w:sz w:val="24"/>
          <w:szCs w:val="24"/>
        </w:rPr>
      </w:pPr>
      <w:r>
        <w:rPr>
          <w:rFonts w:hint="eastAsia" w:ascii="宋体" w:hAnsi="宋体" w:cs="宋体"/>
          <w:color w:val="auto"/>
          <w:sz w:val="24"/>
          <w:szCs w:val="24"/>
        </w:rPr>
        <w:t>估损金额在人民币5000元（含）以下的，在收到完整索赔资料后1个工作日完成；</w:t>
      </w:r>
    </w:p>
    <w:p>
      <w:pPr>
        <w:autoSpaceDE w:val="0"/>
        <w:autoSpaceDN w:val="0"/>
        <w:adjustRightInd w:val="0"/>
        <w:spacing w:line="560" w:lineRule="exact"/>
        <w:ind w:firstLine="560"/>
        <w:rPr>
          <w:rFonts w:ascii="宋体" w:hAnsi="宋体" w:cs="宋体"/>
          <w:color w:val="auto"/>
          <w:sz w:val="24"/>
          <w:szCs w:val="24"/>
        </w:rPr>
      </w:pPr>
      <w:r>
        <w:rPr>
          <w:rFonts w:hint="eastAsia" w:ascii="宋体" w:hAnsi="宋体" w:cs="宋体"/>
          <w:color w:val="auto"/>
          <w:sz w:val="24"/>
          <w:szCs w:val="24"/>
        </w:rPr>
        <w:t>估损金额在人民币5000元-50000元（含）的，在收到完整索赔资料后3个工作日完成。</w:t>
      </w:r>
    </w:p>
    <w:p>
      <w:pPr>
        <w:autoSpaceDE w:val="0"/>
        <w:autoSpaceDN w:val="0"/>
        <w:adjustRightInd w:val="0"/>
        <w:spacing w:line="560" w:lineRule="exact"/>
        <w:ind w:firstLine="560"/>
        <w:rPr>
          <w:rFonts w:ascii="宋体" w:hAnsi="宋体" w:cs="宋体"/>
          <w:color w:val="auto"/>
          <w:sz w:val="24"/>
          <w:szCs w:val="24"/>
        </w:rPr>
      </w:pPr>
      <w:r>
        <w:rPr>
          <w:rFonts w:hint="eastAsia" w:ascii="宋体" w:hAnsi="宋体" w:cs="宋体"/>
          <w:color w:val="auto"/>
          <w:sz w:val="24"/>
          <w:szCs w:val="24"/>
        </w:rPr>
        <w:t>估损金额在人民币50000元以上的，在收到完整索赔资料后5个工作日完成。</w:t>
      </w:r>
    </w:p>
    <w:p>
      <w:pPr>
        <w:spacing w:line="360" w:lineRule="auto"/>
        <w:rPr>
          <w:rFonts w:ascii="宋体" w:hAnsi="宋体" w:cs="宋体"/>
          <w:bCs/>
          <w:color w:val="auto"/>
          <w:sz w:val="24"/>
          <w:szCs w:val="24"/>
        </w:rPr>
      </w:pPr>
      <w:r>
        <w:rPr>
          <w:rFonts w:hint="eastAsia" w:ascii="宋体" w:hAnsi="宋体" w:cs="宋体"/>
          <w:bCs/>
          <w:color w:val="auto"/>
          <w:sz w:val="24"/>
          <w:szCs w:val="24"/>
        </w:rPr>
        <w:t>4、赔款时限</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在被保险人提供完整必要的索赔材料后，出单公司承诺按下列约定时限向被保险人支付赔款：</w:t>
      </w:r>
    </w:p>
    <w:tbl>
      <w:tblPr>
        <w:tblStyle w:val="37"/>
        <w:tblW w:w="0" w:type="auto"/>
        <w:tblInd w:w="46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80"/>
        <w:gridCol w:w="31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46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赔 款 金 额</w:t>
            </w:r>
          </w:p>
        </w:tc>
        <w:tc>
          <w:tcPr>
            <w:tcW w:w="31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结 案 时 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rPr>
            </w:pPr>
            <w:r>
              <w:rPr>
                <w:rFonts w:hint="eastAsia" w:ascii="宋体" w:hAnsi="宋体" w:cs="宋体"/>
                <w:color w:val="auto"/>
                <w:sz w:val="24"/>
                <w:szCs w:val="24"/>
              </w:rPr>
              <w:t>￥5000元（含）以下</w:t>
            </w:r>
          </w:p>
        </w:tc>
        <w:tc>
          <w:tcPr>
            <w:tcW w:w="31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 w:val="24"/>
                <w:szCs w:val="24"/>
              </w:rPr>
            </w:pPr>
            <w:r>
              <w:rPr>
                <w:rFonts w:hint="eastAsia" w:ascii="宋体" w:hAnsi="宋体" w:cs="宋体"/>
                <w:color w:val="auto"/>
                <w:sz w:val="24"/>
                <w:szCs w:val="24"/>
              </w:rPr>
              <w:t>1个工作日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rPr>
            </w:pPr>
            <w:r>
              <w:rPr>
                <w:rFonts w:hint="eastAsia" w:ascii="宋体" w:hAnsi="宋体" w:cs="宋体"/>
                <w:color w:val="auto"/>
                <w:sz w:val="24"/>
                <w:szCs w:val="24"/>
              </w:rPr>
              <w:t>￥5000元 ～ ￥30000元（含）</w:t>
            </w:r>
          </w:p>
        </w:tc>
        <w:tc>
          <w:tcPr>
            <w:tcW w:w="31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 w:val="24"/>
                <w:szCs w:val="24"/>
              </w:rPr>
            </w:pPr>
            <w:r>
              <w:rPr>
                <w:rFonts w:hint="eastAsia" w:ascii="宋体" w:hAnsi="宋体" w:cs="宋体"/>
                <w:color w:val="auto"/>
                <w:sz w:val="24"/>
                <w:szCs w:val="24"/>
              </w:rPr>
              <w:t>3个工作日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rPr>
            </w:pPr>
            <w:r>
              <w:rPr>
                <w:rFonts w:hint="eastAsia" w:ascii="宋体" w:hAnsi="宋体" w:cs="宋体"/>
                <w:color w:val="auto"/>
                <w:sz w:val="24"/>
                <w:szCs w:val="24"/>
              </w:rPr>
              <w:t>￥30000元～￥100000元（含）</w:t>
            </w:r>
          </w:p>
        </w:tc>
        <w:tc>
          <w:tcPr>
            <w:tcW w:w="31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 w:val="24"/>
                <w:szCs w:val="24"/>
              </w:rPr>
            </w:pPr>
            <w:r>
              <w:rPr>
                <w:rFonts w:hint="eastAsia" w:ascii="宋体" w:hAnsi="宋体" w:cs="宋体"/>
                <w:color w:val="auto"/>
                <w:sz w:val="24"/>
                <w:szCs w:val="24"/>
              </w:rPr>
              <w:t>5个工作日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rPr>
            </w:pPr>
            <w:r>
              <w:rPr>
                <w:rFonts w:hint="eastAsia" w:ascii="宋体" w:hAnsi="宋体" w:cs="宋体"/>
                <w:color w:val="auto"/>
                <w:sz w:val="24"/>
                <w:szCs w:val="24"/>
              </w:rPr>
              <w:t>￥100000元以上</w:t>
            </w:r>
          </w:p>
        </w:tc>
        <w:tc>
          <w:tcPr>
            <w:tcW w:w="31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 w:val="24"/>
                <w:szCs w:val="24"/>
              </w:rPr>
            </w:pPr>
            <w:r>
              <w:rPr>
                <w:rFonts w:hint="eastAsia" w:ascii="宋体" w:hAnsi="宋体" w:cs="宋体"/>
                <w:color w:val="auto"/>
                <w:sz w:val="24"/>
                <w:szCs w:val="24"/>
              </w:rPr>
              <w:t>7个工作日</w:t>
            </w:r>
          </w:p>
        </w:tc>
      </w:tr>
    </w:tbl>
    <w:p>
      <w:pPr>
        <w:spacing w:line="360" w:lineRule="auto"/>
        <w:rPr>
          <w:rFonts w:ascii="宋体" w:hAnsi="宋体"/>
          <w:color w:val="auto"/>
          <w:sz w:val="24"/>
        </w:rPr>
      </w:pPr>
      <w:r>
        <w:rPr>
          <w:rFonts w:ascii="宋体" w:hAnsi="宋体"/>
          <w:b/>
          <w:color w:val="auto"/>
          <w:sz w:val="36"/>
        </w:rPr>
        <w:br w:type="page"/>
      </w: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rPr>
      </w:pPr>
    </w:p>
    <w:p>
      <w:pPr>
        <w:pStyle w:val="9"/>
        <w:snapToGrid w:val="0"/>
        <w:spacing w:line="360" w:lineRule="auto"/>
        <w:ind w:firstLine="0"/>
        <w:jc w:val="center"/>
        <w:outlineLvl w:val="0"/>
        <w:rPr>
          <w:rFonts w:ascii="宋体" w:hAnsi="宋体"/>
          <w:b/>
          <w:bCs/>
          <w:color w:val="auto"/>
          <w:sz w:val="36"/>
        </w:rPr>
      </w:pPr>
      <w:bookmarkStart w:id="42" w:name="_Toc253154212"/>
      <w:bookmarkStart w:id="43" w:name="_Toc352224157"/>
      <w:bookmarkStart w:id="44" w:name="_Toc277779959"/>
      <w:r>
        <w:rPr>
          <w:rFonts w:hint="eastAsia" w:ascii="宋体" w:hAnsi="宋体"/>
          <w:b/>
          <w:bCs/>
          <w:color w:val="auto"/>
          <w:sz w:val="36"/>
        </w:rPr>
        <w:t>第五章  投标文件格式</w:t>
      </w:r>
      <w:bookmarkEnd w:id="42"/>
      <w:bookmarkEnd w:id="43"/>
      <w:bookmarkEnd w:id="44"/>
    </w:p>
    <w:p>
      <w:pPr>
        <w:pStyle w:val="140"/>
        <w:spacing w:line="360" w:lineRule="auto"/>
        <w:rPr>
          <w:rFonts w:hAnsi="宋体"/>
          <w:color w:val="auto"/>
        </w:rPr>
      </w:pPr>
    </w:p>
    <w:p>
      <w:pPr>
        <w:pStyle w:val="140"/>
        <w:spacing w:line="360" w:lineRule="auto"/>
        <w:rPr>
          <w:rFonts w:hAnsi="宋体"/>
          <w:color w:val="auto"/>
        </w:rPr>
      </w:pPr>
    </w:p>
    <w:p>
      <w:pPr>
        <w:pStyle w:val="140"/>
        <w:spacing w:line="360" w:lineRule="auto"/>
        <w:rPr>
          <w:rFonts w:hAnsi="宋体"/>
          <w:color w:val="auto"/>
        </w:rPr>
      </w:pPr>
    </w:p>
    <w:p>
      <w:pPr>
        <w:pStyle w:val="140"/>
        <w:spacing w:line="360" w:lineRule="auto"/>
        <w:rPr>
          <w:rFonts w:hAnsi="宋体"/>
          <w:color w:val="auto"/>
        </w:rPr>
      </w:pPr>
    </w:p>
    <w:p>
      <w:pPr>
        <w:pStyle w:val="140"/>
        <w:spacing w:line="360" w:lineRule="auto"/>
        <w:rPr>
          <w:rFonts w:hAnsi="宋体"/>
          <w:color w:val="auto"/>
        </w:rPr>
      </w:pPr>
    </w:p>
    <w:tbl>
      <w:tblPr>
        <w:tblStyle w:val="37"/>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noWrap/>
          </w:tcPr>
          <w:p>
            <w:pPr>
              <w:spacing w:line="360" w:lineRule="auto"/>
              <w:rPr>
                <w:rFonts w:ascii="宋体" w:hAnsi="宋体"/>
                <w:color w:val="auto"/>
                <w:sz w:val="24"/>
              </w:rPr>
            </w:pPr>
            <w:r>
              <w:rPr>
                <w:rFonts w:hint="eastAsia" w:ascii="宋体" w:hAnsi="宋体"/>
                <w:color w:val="auto"/>
                <w:sz w:val="24"/>
              </w:rPr>
              <w:t>注释：</w:t>
            </w:r>
          </w:p>
          <w:p>
            <w:pPr>
              <w:spacing w:line="360" w:lineRule="auto"/>
              <w:ind w:firstLine="480" w:firstLineChars="200"/>
              <w:jc w:val="left"/>
              <w:rPr>
                <w:rFonts w:ascii="宋体" w:hAnsi="宋体"/>
                <w:color w:val="auto"/>
                <w:sz w:val="24"/>
              </w:rPr>
            </w:pPr>
            <w:r>
              <w:rPr>
                <w:rFonts w:hint="eastAsia" w:ascii="宋体" w:hAnsi="宋体"/>
                <w:color w:val="auto"/>
                <w:sz w:val="24"/>
              </w:rPr>
              <w:t>1、本附件格式分“报价部分格式”和 “技术商务部分格式” 两册，装订时要求报价部分和技术商务部分均须单独装订。</w:t>
            </w:r>
          </w:p>
          <w:p>
            <w:pPr>
              <w:spacing w:line="360" w:lineRule="auto"/>
              <w:ind w:firstLine="480" w:firstLineChars="200"/>
              <w:jc w:val="left"/>
              <w:rPr>
                <w:rFonts w:ascii="宋体" w:hAnsi="宋体"/>
                <w:color w:val="auto"/>
                <w:sz w:val="24"/>
              </w:rPr>
            </w:pPr>
            <w:r>
              <w:rPr>
                <w:rFonts w:hint="eastAsia" w:ascii="宋体" w:hAnsi="宋体"/>
                <w:color w:val="auto"/>
                <w:sz w:val="24"/>
              </w:rPr>
              <w:t>2、附件格式仅供制作投标文件时参考，投标人应根据行业特点，结合本次招标技术规格要求，对有关表格进行补充或修改，但不得对实质性文件的相关条款作出变动。</w:t>
            </w:r>
          </w:p>
          <w:p>
            <w:pPr>
              <w:spacing w:line="360" w:lineRule="auto"/>
              <w:ind w:firstLine="480" w:firstLineChars="200"/>
              <w:jc w:val="left"/>
              <w:rPr>
                <w:rFonts w:ascii="宋体" w:hAnsi="宋体"/>
                <w:color w:val="auto"/>
                <w:sz w:val="24"/>
              </w:rPr>
            </w:pPr>
            <w:r>
              <w:rPr>
                <w:rFonts w:hint="eastAsia" w:ascii="宋体" w:hAnsi="宋体"/>
                <w:color w:val="auto"/>
                <w:sz w:val="24"/>
              </w:rPr>
              <w:t>3、若“第五章 投标文件格式”中的表述与招标文件要求有不一致的，以招标文件要求为准。</w:t>
            </w:r>
          </w:p>
        </w:tc>
      </w:tr>
    </w:tbl>
    <w:p>
      <w:pPr>
        <w:pStyle w:val="140"/>
        <w:spacing w:line="360" w:lineRule="auto"/>
        <w:rPr>
          <w:rFonts w:hAnsi="宋体"/>
          <w:color w:val="auto"/>
          <w:sz w:val="20"/>
        </w:rPr>
      </w:pPr>
    </w:p>
    <w:p>
      <w:pPr>
        <w:pStyle w:val="9"/>
        <w:snapToGrid w:val="0"/>
        <w:spacing w:line="360" w:lineRule="auto"/>
        <w:ind w:firstLine="0"/>
        <w:jc w:val="center"/>
        <w:rPr>
          <w:rFonts w:ascii="宋体" w:hAnsi="宋体"/>
          <w:b/>
          <w:bCs/>
          <w:color w:val="auto"/>
          <w:sz w:val="36"/>
        </w:rPr>
      </w:pPr>
    </w:p>
    <w:p>
      <w:pPr>
        <w:tabs>
          <w:tab w:val="left" w:pos="2145"/>
        </w:tabs>
        <w:spacing w:line="360" w:lineRule="auto"/>
        <w:rPr>
          <w:rFonts w:ascii="宋体" w:hAnsi="宋体"/>
          <w:color w:val="auto"/>
        </w:rPr>
      </w:pPr>
    </w:p>
    <w:p>
      <w:pPr>
        <w:spacing w:line="360" w:lineRule="auto"/>
        <w:rPr>
          <w:rFonts w:ascii="宋体" w:hAnsi="宋体"/>
          <w:color w:val="auto"/>
        </w:rPr>
      </w:pPr>
    </w:p>
    <w:p>
      <w:pPr>
        <w:spacing w:line="360" w:lineRule="auto"/>
        <w:jc w:val="left"/>
        <w:rPr>
          <w:rFonts w:ascii="宋体" w:hAnsi="宋体"/>
          <w:color w:val="auto"/>
        </w:rPr>
        <w:sectPr>
          <w:headerReference r:id="rId7" w:type="default"/>
          <w:type w:val="nextColumn"/>
          <w:pgSz w:w="11907" w:h="16840"/>
          <w:pgMar w:top="1134" w:right="1474" w:bottom="1304" w:left="1474" w:header="454" w:footer="624" w:gutter="0"/>
          <w:cols w:space="720" w:num="1"/>
          <w:docGrid w:linePitch="323" w:charSpace="-2"/>
        </w:sectPr>
      </w:pPr>
    </w:p>
    <w:p>
      <w:pPr>
        <w:spacing w:line="360" w:lineRule="auto"/>
        <w:outlineLvl w:val="1"/>
        <w:rPr>
          <w:rFonts w:ascii="宋体" w:hAnsi="宋体"/>
          <w:b/>
          <w:color w:val="auto"/>
          <w:sz w:val="72"/>
        </w:rPr>
      </w:pPr>
      <w:bookmarkStart w:id="45" w:name="_Toc352224158"/>
      <w:bookmarkStart w:id="46" w:name="_Toc258875384"/>
      <w:bookmarkStart w:id="47" w:name="_Toc161563436"/>
      <w:bookmarkStart w:id="48" w:name="_Toc222197736"/>
      <w:bookmarkStart w:id="49" w:name="_Toc161543344"/>
      <w:bookmarkStart w:id="50" w:name="_Toc164852991"/>
      <w:bookmarkStart w:id="51" w:name="_Toc250710901"/>
      <w:bookmarkStart w:id="52" w:name="_Toc223149626"/>
      <w:bookmarkStart w:id="53" w:name="_Toc255637717"/>
      <w:bookmarkStart w:id="54" w:name="_Toc161544034"/>
      <w:bookmarkStart w:id="55" w:name="_Toc222154064"/>
      <w:bookmarkStart w:id="56" w:name="_Toc222211389"/>
      <w:r>
        <w:rPr>
          <w:rFonts w:hint="eastAsia" w:ascii="宋体" w:hAnsi="宋体"/>
          <w:color w:val="auto"/>
          <w:sz w:val="32"/>
          <w:szCs w:val="32"/>
        </w:rPr>
        <w:t>封面格式：</w:t>
      </w:r>
      <w:bookmarkEnd w:id="45"/>
      <w:bookmarkEnd w:id="46"/>
      <w:bookmarkEnd w:id="47"/>
      <w:bookmarkEnd w:id="48"/>
      <w:bookmarkEnd w:id="49"/>
      <w:bookmarkEnd w:id="50"/>
      <w:bookmarkEnd w:id="51"/>
      <w:bookmarkEnd w:id="52"/>
      <w:bookmarkEnd w:id="53"/>
      <w:bookmarkEnd w:id="54"/>
      <w:bookmarkEnd w:id="55"/>
      <w:bookmarkEnd w:id="56"/>
    </w:p>
    <w:p>
      <w:pPr>
        <w:spacing w:line="360" w:lineRule="auto"/>
        <w:jc w:val="center"/>
        <w:rPr>
          <w:rFonts w:ascii="宋体" w:hAnsi="宋体"/>
          <w:b/>
          <w:color w:val="auto"/>
          <w:sz w:val="72"/>
        </w:rPr>
      </w:pPr>
      <w:r>
        <w:rPr>
          <w:rFonts w:hint="eastAsia" w:ascii="宋体" w:hAnsi="宋体"/>
          <w:b/>
          <w:color w:val="auto"/>
          <w:sz w:val="72"/>
        </w:rPr>
        <w:t>政府采购项目</w:t>
      </w:r>
    </w:p>
    <w:p>
      <w:pPr>
        <w:spacing w:line="360" w:lineRule="auto"/>
        <w:jc w:val="center"/>
        <w:rPr>
          <w:rFonts w:ascii="宋体" w:hAnsi="宋体"/>
          <w:b/>
          <w:color w:val="auto"/>
          <w:sz w:val="72"/>
        </w:rPr>
      </w:pPr>
      <w:r>
        <w:rPr>
          <w:rFonts w:hint="eastAsia" w:ascii="宋体" w:hAnsi="宋体"/>
          <w:b/>
          <w:color w:val="auto"/>
          <w:sz w:val="72"/>
        </w:rPr>
        <w:t>投  标  文  件</w:t>
      </w:r>
    </w:p>
    <w:p>
      <w:pPr>
        <w:spacing w:line="360" w:lineRule="auto"/>
        <w:jc w:val="center"/>
        <w:rPr>
          <w:rFonts w:ascii="宋体" w:hAnsi="宋体"/>
          <w:b/>
          <w:color w:val="auto"/>
          <w:sz w:val="44"/>
          <w:szCs w:val="44"/>
        </w:rPr>
      </w:pPr>
      <w:r>
        <w:rPr>
          <w:rFonts w:hint="eastAsia" w:ascii="宋体" w:hAnsi="宋体"/>
          <w:b/>
          <w:color w:val="auto"/>
          <w:sz w:val="44"/>
          <w:szCs w:val="44"/>
        </w:rPr>
        <w:t>(正本/副本)</w:t>
      </w:r>
    </w:p>
    <w:p>
      <w:pPr>
        <w:spacing w:line="360" w:lineRule="auto"/>
        <w:jc w:val="center"/>
        <w:rPr>
          <w:rFonts w:ascii="宋体" w:hAnsi="宋体"/>
          <w:b/>
          <w:color w:val="auto"/>
          <w:sz w:val="48"/>
          <w:szCs w:val="48"/>
        </w:rPr>
      </w:pPr>
      <w:r>
        <w:rPr>
          <w:rFonts w:hint="eastAsia" w:ascii="宋体" w:hAnsi="宋体"/>
          <w:b/>
          <w:color w:val="auto"/>
          <w:sz w:val="48"/>
          <w:szCs w:val="48"/>
        </w:rPr>
        <w:t>报价部分</w:t>
      </w:r>
    </w:p>
    <w:p>
      <w:pPr>
        <w:spacing w:line="360" w:lineRule="auto"/>
        <w:jc w:val="center"/>
        <w:rPr>
          <w:rFonts w:ascii="宋体" w:hAnsi="宋体"/>
          <w:b/>
          <w:color w:val="auto"/>
          <w:sz w:val="36"/>
        </w:rPr>
      </w:pPr>
    </w:p>
    <w:p>
      <w:pPr>
        <w:spacing w:line="360" w:lineRule="auto"/>
        <w:ind w:firstLine="1084" w:firstLineChars="300"/>
        <w:rPr>
          <w:rFonts w:ascii="宋体" w:hAnsi="宋体"/>
          <w:b/>
          <w:color w:val="auto"/>
          <w:sz w:val="36"/>
        </w:rPr>
      </w:pPr>
    </w:p>
    <w:p>
      <w:pPr>
        <w:spacing w:line="360" w:lineRule="auto"/>
        <w:ind w:firstLine="1084" w:firstLineChars="300"/>
        <w:rPr>
          <w:rFonts w:ascii="宋体" w:hAnsi="宋体"/>
          <w:b/>
          <w:color w:val="auto"/>
          <w:sz w:val="36"/>
        </w:rPr>
      </w:pPr>
      <w:r>
        <w:rPr>
          <w:rFonts w:hint="eastAsia" w:ascii="宋体" w:hAnsi="宋体"/>
          <w:b/>
          <w:color w:val="auto"/>
          <w:sz w:val="36"/>
        </w:rPr>
        <w:t>项 目 名 称：</w:t>
      </w:r>
    </w:p>
    <w:p>
      <w:pPr>
        <w:spacing w:line="360" w:lineRule="auto"/>
        <w:ind w:firstLine="1084" w:firstLineChars="300"/>
        <w:rPr>
          <w:rFonts w:ascii="宋体" w:hAnsi="宋体"/>
          <w:b/>
          <w:color w:val="auto"/>
          <w:sz w:val="36"/>
          <w:u w:val="single"/>
        </w:rPr>
      </w:pPr>
      <w:r>
        <w:rPr>
          <w:rFonts w:hint="eastAsia" w:ascii="宋体" w:hAnsi="宋体"/>
          <w:b/>
          <w:color w:val="auto"/>
          <w:sz w:val="36"/>
        </w:rPr>
        <w:t>招 标 编 号：</w:t>
      </w:r>
    </w:p>
    <w:p>
      <w:pPr>
        <w:spacing w:line="360" w:lineRule="auto"/>
        <w:ind w:firstLine="1066" w:firstLineChars="295"/>
        <w:rPr>
          <w:rFonts w:ascii="宋体" w:hAnsi="宋体"/>
          <w:b/>
          <w:color w:val="auto"/>
          <w:sz w:val="36"/>
        </w:rPr>
      </w:pPr>
      <w:r>
        <w:rPr>
          <w:rFonts w:hint="eastAsia" w:ascii="宋体" w:hAnsi="宋体"/>
          <w:b/>
          <w:color w:val="auto"/>
          <w:sz w:val="36"/>
        </w:rPr>
        <w:t>所投合同包：</w:t>
      </w:r>
    </w:p>
    <w:p>
      <w:pPr>
        <w:spacing w:line="360" w:lineRule="auto"/>
        <w:rPr>
          <w:rFonts w:ascii="宋体" w:hAnsi="宋体"/>
          <w:b/>
          <w:color w:val="auto"/>
          <w:sz w:val="36"/>
        </w:rPr>
      </w:pPr>
    </w:p>
    <w:p>
      <w:pPr>
        <w:spacing w:line="360" w:lineRule="auto"/>
        <w:rPr>
          <w:rFonts w:ascii="宋体" w:hAnsi="宋体"/>
          <w:b/>
          <w:color w:val="auto"/>
          <w:sz w:val="36"/>
        </w:rPr>
      </w:pPr>
    </w:p>
    <w:p>
      <w:pPr>
        <w:spacing w:line="360" w:lineRule="auto"/>
        <w:rPr>
          <w:rFonts w:ascii="宋体" w:hAnsi="宋体"/>
          <w:b/>
          <w:color w:val="auto"/>
          <w:sz w:val="36"/>
        </w:rPr>
      </w:pPr>
    </w:p>
    <w:p>
      <w:pPr>
        <w:spacing w:line="360" w:lineRule="auto"/>
        <w:rPr>
          <w:rFonts w:ascii="宋体" w:hAnsi="宋体"/>
          <w:b/>
          <w:color w:val="auto"/>
          <w:sz w:val="36"/>
        </w:rPr>
      </w:pPr>
    </w:p>
    <w:p>
      <w:pPr>
        <w:spacing w:line="360" w:lineRule="auto"/>
        <w:rPr>
          <w:rFonts w:ascii="宋体" w:hAnsi="宋体"/>
          <w:b/>
          <w:color w:val="auto"/>
          <w:sz w:val="36"/>
          <w:u w:val="single"/>
        </w:rPr>
      </w:pPr>
      <w:r>
        <w:rPr>
          <w:rFonts w:hint="eastAsia" w:ascii="宋体" w:hAnsi="宋体"/>
          <w:b/>
          <w:color w:val="auto"/>
          <w:sz w:val="36"/>
        </w:rPr>
        <w:t xml:space="preserve">       投标人名称 ：</w:t>
      </w:r>
      <w:r>
        <w:rPr>
          <w:rFonts w:hint="eastAsia" w:ascii="宋体" w:hAnsi="宋体"/>
          <w:b/>
          <w:color w:val="auto"/>
          <w:sz w:val="36"/>
          <w:u w:val="single"/>
        </w:rPr>
        <w:t xml:space="preserve"> (全称并加盖公章) </w:t>
      </w:r>
    </w:p>
    <w:p>
      <w:pPr>
        <w:spacing w:line="360" w:lineRule="auto"/>
        <w:rPr>
          <w:rFonts w:ascii="宋体" w:hAnsi="宋体"/>
          <w:b/>
          <w:color w:val="auto"/>
          <w:sz w:val="36"/>
        </w:rPr>
      </w:pPr>
      <w:r>
        <w:rPr>
          <w:rFonts w:hint="eastAsia" w:ascii="宋体" w:hAnsi="宋体"/>
          <w:b/>
          <w:color w:val="auto"/>
          <w:sz w:val="36"/>
        </w:rPr>
        <w:t xml:space="preserve">       日      期 ：</w:t>
      </w:r>
    </w:p>
    <w:p>
      <w:pPr>
        <w:pStyle w:val="84"/>
        <w:spacing w:line="360" w:lineRule="auto"/>
        <w:ind w:firstLine="1247" w:firstLineChars="345"/>
        <w:jc w:val="left"/>
        <w:outlineLvl w:val="9"/>
        <w:rPr>
          <w:rFonts w:hAnsi="宋体"/>
          <w:b/>
          <w:color w:val="auto"/>
          <w:sz w:val="36"/>
          <w:szCs w:val="24"/>
        </w:rPr>
      </w:pPr>
      <w:r>
        <w:rPr>
          <w:rFonts w:hint="eastAsia" w:hAnsi="宋体"/>
          <w:b/>
          <w:color w:val="auto"/>
          <w:sz w:val="36"/>
          <w:szCs w:val="24"/>
        </w:rPr>
        <w:t>联 系 方 式：</w:t>
      </w:r>
    </w:p>
    <w:p>
      <w:pPr>
        <w:pStyle w:val="84"/>
        <w:spacing w:line="360" w:lineRule="auto"/>
        <w:jc w:val="left"/>
        <w:outlineLvl w:val="9"/>
        <w:rPr>
          <w:rFonts w:hAnsi="宋体"/>
          <w:b/>
          <w:color w:val="auto"/>
          <w:sz w:val="24"/>
        </w:rPr>
      </w:pPr>
    </w:p>
    <w:p>
      <w:pPr>
        <w:pStyle w:val="84"/>
        <w:spacing w:line="360" w:lineRule="auto"/>
        <w:jc w:val="left"/>
        <w:outlineLvl w:val="9"/>
        <w:rPr>
          <w:rFonts w:hAnsi="宋体"/>
          <w:b/>
          <w:color w:val="auto"/>
          <w:sz w:val="24"/>
        </w:rPr>
      </w:pPr>
    </w:p>
    <w:p>
      <w:pPr>
        <w:pStyle w:val="9"/>
        <w:snapToGrid w:val="0"/>
        <w:spacing w:line="360" w:lineRule="auto"/>
        <w:ind w:firstLine="660" w:firstLineChars="275"/>
        <w:rPr>
          <w:rFonts w:ascii="宋体" w:hAnsi="宋体"/>
          <w:color w:val="auto"/>
          <w:sz w:val="24"/>
        </w:rPr>
      </w:pPr>
    </w:p>
    <w:p>
      <w:pPr>
        <w:pStyle w:val="9"/>
        <w:snapToGrid w:val="0"/>
        <w:spacing w:line="360" w:lineRule="auto"/>
        <w:ind w:firstLine="660" w:firstLineChars="275"/>
        <w:rPr>
          <w:rFonts w:ascii="宋体" w:hAnsi="宋体"/>
          <w:color w:val="auto"/>
          <w:sz w:val="24"/>
        </w:rPr>
      </w:pPr>
    </w:p>
    <w:p>
      <w:pPr>
        <w:pStyle w:val="9"/>
        <w:snapToGrid w:val="0"/>
        <w:spacing w:line="360" w:lineRule="auto"/>
        <w:ind w:firstLine="0"/>
        <w:jc w:val="center"/>
        <w:outlineLvl w:val="1"/>
        <w:rPr>
          <w:rFonts w:ascii="宋体" w:hAnsi="宋体"/>
          <w:b/>
          <w:bCs/>
          <w:color w:val="auto"/>
          <w:sz w:val="72"/>
          <w:szCs w:val="72"/>
        </w:rPr>
      </w:pPr>
      <w:bookmarkStart w:id="57" w:name="_Toc261010998"/>
      <w:bookmarkStart w:id="58" w:name="_Toc259132119"/>
      <w:bookmarkStart w:id="59" w:name="_Toc352224159"/>
      <w:r>
        <w:rPr>
          <w:rFonts w:hint="eastAsia" w:ascii="宋体" w:hAnsi="宋体"/>
          <w:b/>
          <w:bCs/>
          <w:color w:val="auto"/>
          <w:sz w:val="72"/>
          <w:szCs w:val="72"/>
        </w:rPr>
        <w:t>一、报价部分</w:t>
      </w:r>
      <w:bookmarkEnd w:id="57"/>
      <w:bookmarkEnd w:id="58"/>
      <w:bookmarkEnd w:id="59"/>
    </w:p>
    <w:p>
      <w:pPr>
        <w:pStyle w:val="9"/>
        <w:snapToGrid w:val="0"/>
        <w:spacing w:line="360" w:lineRule="auto"/>
        <w:ind w:firstLine="660" w:firstLineChars="275"/>
        <w:rPr>
          <w:rFonts w:ascii="宋体" w:hAnsi="宋体"/>
          <w:color w:val="auto"/>
          <w:sz w:val="24"/>
        </w:rPr>
      </w:pPr>
    </w:p>
    <w:p>
      <w:pPr>
        <w:pStyle w:val="9"/>
        <w:snapToGrid w:val="0"/>
        <w:spacing w:line="360" w:lineRule="auto"/>
        <w:ind w:firstLine="660" w:firstLineChars="275"/>
        <w:rPr>
          <w:rFonts w:ascii="宋体" w:hAnsi="宋体"/>
          <w:color w:val="auto"/>
          <w:sz w:val="24"/>
        </w:rPr>
      </w:pPr>
    </w:p>
    <w:p>
      <w:pPr>
        <w:pStyle w:val="9"/>
        <w:snapToGrid w:val="0"/>
        <w:spacing w:line="360" w:lineRule="auto"/>
        <w:ind w:firstLine="883" w:firstLineChars="275"/>
        <w:jc w:val="center"/>
        <w:rPr>
          <w:rFonts w:ascii="宋体" w:hAnsi="宋体"/>
          <w:b/>
          <w:bCs/>
          <w:color w:val="auto"/>
          <w:sz w:val="32"/>
        </w:rPr>
      </w:pPr>
      <w:r>
        <w:rPr>
          <w:rFonts w:hint="eastAsia" w:ascii="宋体" w:hAnsi="宋体"/>
          <w:b/>
          <w:bCs/>
          <w:color w:val="auto"/>
          <w:sz w:val="32"/>
        </w:rPr>
        <w:t>目    录</w:t>
      </w: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1. 投 标 书……………………………………………………………………（页码）</w:t>
      </w:r>
    </w:p>
    <w:p>
      <w:pPr>
        <w:spacing w:line="360" w:lineRule="auto"/>
        <w:rPr>
          <w:rFonts w:ascii="宋体" w:hAnsi="宋体"/>
          <w:color w:val="auto"/>
          <w:sz w:val="24"/>
        </w:rPr>
      </w:pPr>
      <w:r>
        <w:rPr>
          <w:rFonts w:hint="eastAsia" w:ascii="宋体" w:hAnsi="宋体"/>
          <w:color w:val="auto"/>
          <w:sz w:val="24"/>
        </w:rPr>
        <w:t>2. 开标一览表…………………………………………………………………（页码）</w:t>
      </w:r>
    </w:p>
    <w:p>
      <w:pPr>
        <w:spacing w:line="360" w:lineRule="auto"/>
        <w:rPr>
          <w:rFonts w:ascii="宋体" w:hAnsi="宋体"/>
          <w:color w:val="auto"/>
          <w:sz w:val="24"/>
        </w:rPr>
      </w:pPr>
      <w:r>
        <w:rPr>
          <w:rFonts w:hint="eastAsia" w:ascii="宋体" w:hAnsi="宋体"/>
          <w:color w:val="auto"/>
          <w:sz w:val="24"/>
        </w:rPr>
        <w:t>3. 投标分项报价表……………………………………………………………（页码）</w:t>
      </w:r>
    </w:p>
    <w:p>
      <w:pPr>
        <w:spacing w:line="360" w:lineRule="auto"/>
        <w:rPr>
          <w:rFonts w:ascii="宋体" w:hAnsi="宋体"/>
          <w:color w:val="auto"/>
          <w:sz w:val="24"/>
        </w:rPr>
      </w:pPr>
    </w:p>
    <w:p>
      <w:pPr>
        <w:spacing w:line="360" w:lineRule="auto"/>
        <w:rPr>
          <w:rFonts w:ascii="宋体" w:hAnsi="宋体"/>
          <w:color w:val="auto"/>
          <w:sz w:val="24"/>
        </w:rPr>
      </w:pPr>
    </w:p>
    <w:p>
      <w:pPr>
        <w:pStyle w:val="9"/>
        <w:snapToGrid w:val="0"/>
        <w:spacing w:line="360" w:lineRule="auto"/>
        <w:ind w:firstLine="660" w:firstLineChars="275"/>
        <w:rPr>
          <w:rFonts w:ascii="宋体" w:hAnsi="宋体"/>
          <w:color w:val="auto"/>
          <w:sz w:val="24"/>
        </w:rPr>
      </w:pPr>
    </w:p>
    <w:p>
      <w:pPr>
        <w:pStyle w:val="9"/>
        <w:snapToGrid w:val="0"/>
        <w:spacing w:line="360" w:lineRule="auto"/>
        <w:ind w:firstLine="660" w:firstLineChars="275"/>
        <w:rPr>
          <w:rFonts w:ascii="宋体" w:hAnsi="宋体"/>
          <w:color w:val="auto"/>
          <w:sz w:val="24"/>
        </w:rPr>
      </w:pPr>
    </w:p>
    <w:p>
      <w:pPr>
        <w:pStyle w:val="9"/>
        <w:snapToGrid w:val="0"/>
        <w:spacing w:line="360" w:lineRule="auto"/>
        <w:ind w:firstLine="660" w:firstLineChars="275"/>
        <w:rPr>
          <w:rFonts w:ascii="宋体" w:hAnsi="宋体"/>
          <w:color w:val="auto"/>
          <w:sz w:val="24"/>
        </w:rPr>
      </w:pPr>
    </w:p>
    <w:p>
      <w:pPr>
        <w:pStyle w:val="9"/>
        <w:snapToGrid w:val="0"/>
        <w:spacing w:line="360" w:lineRule="auto"/>
        <w:ind w:firstLine="660" w:firstLineChars="275"/>
        <w:rPr>
          <w:rFonts w:ascii="宋体" w:hAnsi="宋体"/>
          <w:color w:val="auto"/>
          <w:sz w:val="24"/>
        </w:rPr>
      </w:pPr>
    </w:p>
    <w:p>
      <w:pPr>
        <w:pStyle w:val="9"/>
        <w:snapToGrid w:val="0"/>
        <w:spacing w:line="360" w:lineRule="auto"/>
        <w:ind w:firstLine="660" w:firstLineChars="275"/>
        <w:rPr>
          <w:rFonts w:ascii="宋体" w:hAnsi="宋体"/>
          <w:color w:val="auto"/>
          <w:sz w:val="24"/>
        </w:rPr>
      </w:pPr>
    </w:p>
    <w:p>
      <w:pPr>
        <w:pStyle w:val="9"/>
        <w:snapToGrid w:val="0"/>
        <w:spacing w:line="360" w:lineRule="auto"/>
        <w:ind w:firstLine="660" w:firstLineChars="275"/>
        <w:rPr>
          <w:rFonts w:ascii="宋体" w:hAnsi="宋体"/>
          <w:color w:val="auto"/>
          <w:sz w:val="24"/>
        </w:rPr>
      </w:pPr>
    </w:p>
    <w:p>
      <w:pPr>
        <w:pStyle w:val="9"/>
        <w:snapToGrid w:val="0"/>
        <w:spacing w:line="360" w:lineRule="auto"/>
        <w:ind w:firstLine="660" w:firstLineChars="275"/>
        <w:rPr>
          <w:rFonts w:ascii="宋体" w:hAnsi="宋体"/>
          <w:color w:val="auto"/>
          <w:sz w:val="24"/>
        </w:rPr>
      </w:pPr>
    </w:p>
    <w:p>
      <w:pPr>
        <w:pStyle w:val="9"/>
        <w:snapToGrid w:val="0"/>
        <w:spacing w:line="360" w:lineRule="auto"/>
        <w:ind w:firstLine="660" w:firstLineChars="275"/>
        <w:rPr>
          <w:rFonts w:ascii="宋体" w:hAnsi="宋体"/>
          <w:color w:val="auto"/>
          <w:sz w:val="24"/>
        </w:rPr>
      </w:pPr>
    </w:p>
    <w:p>
      <w:pPr>
        <w:pStyle w:val="9"/>
        <w:snapToGrid w:val="0"/>
        <w:spacing w:line="360" w:lineRule="auto"/>
        <w:ind w:firstLine="660" w:firstLineChars="275"/>
        <w:rPr>
          <w:rFonts w:ascii="宋体" w:hAnsi="宋体"/>
          <w:color w:val="auto"/>
          <w:sz w:val="24"/>
        </w:rPr>
      </w:pPr>
    </w:p>
    <w:p>
      <w:pPr>
        <w:pStyle w:val="9"/>
        <w:snapToGrid w:val="0"/>
        <w:spacing w:line="360" w:lineRule="auto"/>
        <w:ind w:firstLine="660" w:firstLineChars="275"/>
        <w:rPr>
          <w:rFonts w:ascii="宋体" w:hAnsi="宋体"/>
          <w:color w:val="auto"/>
          <w:sz w:val="24"/>
        </w:rPr>
      </w:pPr>
    </w:p>
    <w:p>
      <w:pPr>
        <w:pStyle w:val="9"/>
        <w:snapToGrid w:val="0"/>
        <w:spacing w:line="360" w:lineRule="auto"/>
        <w:ind w:firstLine="660" w:firstLineChars="275"/>
        <w:rPr>
          <w:rFonts w:ascii="宋体" w:hAnsi="宋体"/>
          <w:color w:val="auto"/>
          <w:sz w:val="24"/>
        </w:rPr>
      </w:pPr>
    </w:p>
    <w:p>
      <w:pPr>
        <w:pStyle w:val="9"/>
        <w:snapToGrid w:val="0"/>
        <w:spacing w:line="360" w:lineRule="auto"/>
        <w:ind w:firstLine="0"/>
        <w:rPr>
          <w:rFonts w:ascii="宋体" w:hAnsi="宋体"/>
          <w:color w:val="auto"/>
          <w:sz w:val="24"/>
        </w:rPr>
      </w:pPr>
    </w:p>
    <w:p>
      <w:pPr>
        <w:pStyle w:val="9"/>
        <w:snapToGrid w:val="0"/>
        <w:spacing w:line="360" w:lineRule="auto"/>
        <w:ind w:firstLine="0"/>
        <w:rPr>
          <w:rFonts w:ascii="宋体" w:hAnsi="宋体"/>
          <w:color w:val="auto"/>
          <w:sz w:val="24"/>
        </w:rPr>
      </w:pPr>
    </w:p>
    <w:p>
      <w:pPr>
        <w:spacing w:line="360" w:lineRule="auto"/>
        <w:ind w:firstLine="720"/>
        <w:jc w:val="center"/>
        <w:rPr>
          <w:rFonts w:ascii="宋体" w:hAnsi="宋体"/>
          <w:b/>
          <w:bCs/>
          <w:color w:val="auto"/>
          <w:sz w:val="32"/>
        </w:rPr>
      </w:pPr>
      <w:r>
        <w:rPr>
          <w:rFonts w:ascii="宋体" w:hAnsi="宋体"/>
          <w:color w:val="auto"/>
          <w:sz w:val="24"/>
        </w:rPr>
        <w:br w:type="page"/>
      </w:r>
      <w:r>
        <w:rPr>
          <w:rFonts w:hint="eastAsia" w:ascii="宋体" w:hAnsi="宋体"/>
          <w:b/>
          <w:bCs/>
          <w:color w:val="auto"/>
          <w:sz w:val="32"/>
        </w:rPr>
        <w:t>1、投 标 书</w:t>
      </w:r>
    </w:p>
    <w:p>
      <w:pPr>
        <w:spacing w:line="360" w:lineRule="auto"/>
        <w:rPr>
          <w:rFonts w:ascii="宋体" w:hAnsi="宋体"/>
          <w:color w:val="auto"/>
          <w:sz w:val="24"/>
          <w:u w:val="single"/>
        </w:rPr>
      </w:pPr>
      <w:r>
        <w:rPr>
          <w:rFonts w:hint="eastAsia" w:ascii="宋体" w:hAnsi="宋体"/>
          <w:color w:val="auto"/>
          <w:sz w:val="24"/>
        </w:rPr>
        <w:t>致：宁德市恒福招标有限公司</w:t>
      </w:r>
    </w:p>
    <w:p>
      <w:pPr>
        <w:spacing w:line="360" w:lineRule="auto"/>
        <w:rPr>
          <w:rFonts w:ascii="宋体" w:hAnsi="宋体"/>
          <w:color w:val="auto"/>
          <w:sz w:val="24"/>
        </w:rPr>
      </w:pPr>
      <w:r>
        <w:rPr>
          <w:rFonts w:hint="eastAsia" w:ascii="宋体" w:hAnsi="宋体"/>
          <w:color w:val="auto"/>
          <w:sz w:val="24"/>
        </w:rPr>
        <w:t xml:space="preserve">    根据贵方为 项目的投标邀请（招标编号: ），本签字代表（全名、职务）正式授权并代表投标人（投标人名称、地址）提交下述文件正本一份和</w:t>
      </w:r>
      <w:r>
        <w:rPr>
          <w:rFonts w:hint="eastAsia" w:ascii="宋体" w:hAnsi="宋体"/>
          <w:color w:val="auto"/>
          <w:sz w:val="24"/>
          <w:highlight w:val="yellow"/>
        </w:rPr>
        <w:t>副本三份</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（一）报价部分：</w:t>
      </w:r>
    </w:p>
    <w:p>
      <w:pPr>
        <w:spacing w:line="360" w:lineRule="auto"/>
        <w:ind w:firstLine="600" w:firstLineChars="250"/>
        <w:rPr>
          <w:rFonts w:ascii="宋体" w:hAnsi="宋体"/>
          <w:color w:val="auto"/>
          <w:sz w:val="24"/>
        </w:rPr>
      </w:pPr>
      <w:r>
        <w:rPr>
          <w:rFonts w:hint="eastAsia" w:ascii="宋体" w:hAnsi="宋体"/>
          <w:color w:val="auto"/>
          <w:sz w:val="24"/>
        </w:rPr>
        <w:t>(1) 投标书</w:t>
      </w:r>
    </w:p>
    <w:p>
      <w:pPr>
        <w:spacing w:line="360" w:lineRule="auto"/>
        <w:ind w:firstLine="600" w:firstLineChars="250"/>
        <w:rPr>
          <w:rFonts w:ascii="宋体" w:hAnsi="宋体"/>
          <w:color w:val="auto"/>
          <w:sz w:val="24"/>
        </w:rPr>
      </w:pPr>
      <w:r>
        <w:rPr>
          <w:rFonts w:hint="eastAsia" w:ascii="宋体" w:hAnsi="宋体"/>
          <w:color w:val="auto"/>
          <w:sz w:val="24"/>
        </w:rPr>
        <w:t>(2) 开标一览表</w:t>
      </w:r>
    </w:p>
    <w:p>
      <w:pPr>
        <w:tabs>
          <w:tab w:val="left" w:pos="5355"/>
        </w:tabs>
        <w:spacing w:line="360" w:lineRule="auto"/>
        <w:ind w:firstLine="600" w:firstLineChars="250"/>
        <w:rPr>
          <w:rFonts w:ascii="宋体" w:hAnsi="宋体"/>
          <w:color w:val="auto"/>
          <w:sz w:val="24"/>
        </w:rPr>
      </w:pPr>
      <w:r>
        <w:rPr>
          <w:rFonts w:hint="eastAsia" w:ascii="宋体" w:hAnsi="宋体"/>
          <w:color w:val="auto"/>
          <w:sz w:val="24"/>
        </w:rPr>
        <w:t>(3) 投标分项报价表</w:t>
      </w:r>
    </w:p>
    <w:p>
      <w:pPr>
        <w:spacing w:line="360" w:lineRule="auto"/>
        <w:ind w:firstLine="360" w:firstLineChars="150"/>
        <w:rPr>
          <w:rFonts w:ascii="宋体" w:hAnsi="宋体"/>
          <w:color w:val="auto"/>
          <w:sz w:val="24"/>
        </w:rPr>
      </w:pPr>
      <w:r>
        <w:rPr>
          <w:rFonts w:hint="eastAsia" w:ascii="宋体" w:hAnsi="宋体"/>
          <w:color w:val="auto"/>
          <w:sz w:val="24"/>
        </w:rPr>
        <w:t>（二）技术商务部分：</w:t>
      </w:r>
    </w:p>
    <w:p>
      <w:pPr>
        <w:spacing w:line="360" w:lineRule="auto"/>
        <w:ind w:firstLine="600" w:firstLineChars="250"/>
        <w:rPr>
          <w:rFonts w:ascii="宋体" w:hAnsi="宋体"/>
          <w:color w:val="auto"/>
          <w:sz w:val="24"/>
        </w:rPr>
      </w:pPr>
      <w:r>
        <w:rPr>
          <w:rFonts w:hint="eastAsia" w:ascii="宋体" w:hAnsi="宋体"/>
          <w:color w:val="auto"/>
          <w:sz w:val="24"/>
        </w:rPr>
        <w:t>(1) 技术商务评分索引表</w:t>
      </w:r>
    </w:p>
    <w:p>
      <w:pPr>
        <w:spacing w:line="360" w:lineRule="auto"/>
        <w:ind w:firstLine="600" w:firstLineChars="250"/>
        <w:rPr>
          <w:rFonts w:ascii="宋体" w:hAnsi="宋体"/>
          <w:color w:val="auto"/>
          <w:sz w:val="24"/>
        </w:rPr>
      </w:pPr>
      <w:r>
        <w:rPr>
          <w:rFonts w:hint="eastAsia" w:ascii="宋体" w:hAnsi="宋体"/>
          <w:color w:val="auto"/>
          <w:sz w:val="24"/>
        </w:rPr>
        <w:t>(2) 技术（服务）偏离表</w:t>
      </w:r>
    </w:p>
    <w:p>
      <w:pPr>
        <w:spacing w:line="360" w:lineRule="auto"/>
        <w:ind w:firstLine="600" w:firstLineChars="250"/>
        <w:rPr>
          <w:rFonts w:ascii="宋体" w:hAnsi="宋体"/>
          <w:color w:val="auto"/>
          <w:sz w:val="24"/>
        </w:rPr>
      </w:pPr>
      <w:r>
        <w:rPr>
          <w:rFonts w:hint="eastAsia" w:ascii="宋体" w:hAnsi="宋体"/>
          <w:color w:val="auto"/>
          <w:sz w:val="24"/>
        </w:rPr>
        <w:t>(3) 商务偏离表</w:t>
      </w:r>
    </w:p>
    <w:p>
      <w:pPr>
        <w:spacing w:line="360" w:lineRule="auto"/>
        <w:ind w:firstLine="480"/>
        <w:rPr>
          <w:rFonts w:ascii="宋体" w:hAnsi="宋体"/>
          <w:color w:val="auto"/>
          <w:sz w:val="24"/>
        </w:rPr>
      </w:pPr>
      <w:r>
        <w:rPr>
          <w:rFonts w:hint="eastAsia" w:ascii="宋体" w:hAnsi="宋体"/>
          <w:color w:val="auto"/>
          <w:sz w:val="24"/>
        </w:rPr>
        <w:t xml:space="preserve"> (4) 投标人资格证明文件</w:t>
      </w:r>
    </w:p>
    <w:p>
      <w:pPr>
        <w:spacing w:line="360" w:lineRule="auto"/>
        <w:ind w:firstLine="600" w:firstLineChars="250"/>
        <w:rPr>
          <w:rFonts w:ascii="宋体" w:hAnsi="宋体"/>
          <w:color w:val="auto"/>
          <w:sz w:val="24"/>
        </w:rPr>
      </w:pPr>
      <w:r>
        <w:rPr>
          <w:rFonts w:hint="eastAsia" w:ascii="宋体" w:hAnsi="宋体"/>
          <w:color w:val="auto"/>
          <w:sz w:val="24"/>
        </w:rPr>
        <w:t>(5) 质保期和售后服务承诺书</w:t>
      </w:r>
    </w:p>
    <w:p>
      <w:pPr>
        <w:spacing w:line="360" w:lineRule="auto"/>
        <w:ind w:firstLine="600" w:firstLineChars="250"/>
        <w:rPr>
          <w:rFonts w:ascii="宋体" w:hAnsi="宋体"/>
          <w:color w:val="auto"/>
          <w:sz w:val="24"/>
        </w:rPr>
      </w:pPr>
      <w:r>
        <w:rPr>
          <w:rFonts w:hint="eastAsia" w:ascii="宋体" w:hAnsi="宋体"/>
          <w:color w:val="auto"/>
          <w:sz w:val="24"/>
        </w:rPr>
        <w:t>(6) 投标人提交的其它资料</w:t>
      </w:r>
    </w:p>
    <w:p>
      <w:pPr>
        <w:spacing w:line="360" w:lineRule="auto"/>
        <w:ind w:firstLine="600" w:firstLineChars="250"/>
        <w:rPr>
          <w:rFonts w:ascii="宋体" w:hAnsi="宋体"/>
          <w:color w:val="auto"/>
          <w:sz w:val="24"/>
        </w:rPr>
      </w:pPr>
      <w:r>
        <w:rPr>
          <w:rFonts w:hint="eastAsia" w:ascii="宋体" w:hAnsi="宋体"/>
          <w:color w:val="auto"/>
          <w:sz w:val="24"/>
        </w:rPr>
        <w:t>(7) 招标服务费承诺书</w:t>
      </w:r>
    </w:p>
    <w:p>
      <w:pPr>
        <w:spacing w:line="360" w:lineRule="auto"/>
        <w:ind w:firstLine="600" w:firstLineChars="250"/>
        <w:rPr>
          <w:rFonts w:ascii="宋体" w:hAnsi="宋体"/>
          <w:color w:val="auto"/>
          <w:sz w:val="24"/>
        </w:rPr>
      </w:pPr>
      <w:r>
        <w:rPr>
          <w:rFonts w:hint="eastAsia" w:ascii="宋体" w:hAnsi="宋体"/>
          <w:color w:val="auto"/>
          <w:sz w:val="24"/>
        </w:rPr>
        <w:t>(8) 以      方式提供的金额为人民币元的投标保证金。</w:t>
      </w:r>
    </w:p>
    <w:p>
      <w:pPr>
        <w:spacing w:line="360" w:lineRule="auto"/>
        <w:ind w:firstLine="600" w:firstLineChars="250"/>
        <w:rPr>
          <w:rFonts w:ascii="宋体" w:hAnsi="宋体"/>
          <w:color w:val="auto"/>
          <w:sz w:val="24"/>
        </w:rPr>
      </w:pPr>
      <w:r>
        <w:rPr>
          <w:rFonts w:hint="eastAsia" w:ascii="宋体" w:hAnsi="宋体"/>
          <w:color w:val="auto"/>
          <w:sz w:val="24"/>
        </w:rPr>
        <w:t>(9) 退回投标保证金授权函</w:t>
      </w:r>
    </w:p>
    <w:p>
      <w:pPr>
        <w:spacing w:line="360" w:lineRule="auto"/>
        <w:ind w:firstLine="480" w:firstLineChars="200"/>
        <w:rPr>
          <w:rFonts w:ascii="宋体" w:hAnsi="宋体"/>
          <w:color w:val="auto"/>
          <w:sz w:val="24"/>
        </w:rPr>
      </w:pPr>
      <w:r>
        <w:rPr>
          <w:rFonts w:hint="eastAsia" w:ascii="宋体" w:hAnsi="宋体"/>
          <w:color w:val="auto"/>
          <w:sz w:val="24"/>
        </w:rPr>
        <w:t xml:space="preserve"> (10)投标人廉政保证书</w:t>
      </w:r>
    </w:p>
    <w:p>
      <w:pPr>
        <w:spacing w:line="360" w:lineRule="auto"/>
        <w:rPr>
          <w:rFonts w:ascii="宋体" w:hAnsi="宋体"/>
          <w:color w:val="auto"/>
          <w:sz w:val="24"/>
        </w:rPr>
      </w:pPr>
      <w:r>
        <w:rPr>
          <w:rFonts w:hint="eastAsia" w:ascii="宋体" w:hAnsi="宋体"/>
          <w:color w:val="auto"/>
          <w:sz w:val="24"/>
        </w:rPr>
        <w:t xml:space="preserve">    据此函，签字代表宣布同意如下：</w:t>
      </w:r>
    </w:p>
    <w:p>
      <w:pPr>
        <w:spacing w:line="360" w:lineRule="auto"/>
        <w:rPr>
          <w:rFonts w:ascii="宋体" w:hAnsi="宋体"/>
          <w:color w:val="auto"/>
          <w:sz w:val="24"/>
        </w:rPr>
      </w:pPr>
      <w:r>
        <w:rPr>
          <w:rFonts w:hint="eastAsia" w:ascii="宋体" w:hAnsi="宋体"/>
          <w:color w:val="auto"/>
          <w:sz w:val="24"/>
        </w:rPr>
        <w:t xml:space="preserve">    1.所附详细报价表中规定的应提供和交付的货物及服务报价总价（国内现场交货价）为人民币 ，即 （中文表述）。</w:t>
      </w:r>
    </w:p>
    <w:p>
      <w:pPr>
        <w:spacing w:line="360" w:lineRule="auto"/>
        <w:ind w:firstLine="480" w:firstLineChars="200"/>
        <w:rPr>
          <w:rFonts w:ascii="宋体" w:hAnsi="宋体"/>
          <w:color w:val="auto"/>
          <w:sz w:val="24"/>
        </w:rPr>
      </w:pPr>
      <w:r>
        <w:rPr>
          <w:rFonts w:hint="eastAsia" w:ascii="宋体" w:hAnsi="宋体"/>
          <w:color w:val="auto"/>
          <w:sz w:val="24"/>
        </w:rPr>
        <w:t>2.投标人已详细审查全部招标文件，包括修改文件（如有的话）和有关附件，将自行承担因对全部招标文件理解不正确或误解而产生的相应后果。</w:t>
      </w:r>
    </w:p>
    <w:p>
      <w:pPr>
        <w:spacing w:line="360" w:lineRule="auto"/>
        <w:rPr>
          <w:rFonts w:ascii="宋体" w:hAnsi="宋体"/>
          <w:color w:val="auto"/>
          <w:sz w:val="24"/>
        </w:rPr>
      </w:pPr>
      <w:r>
        <w:rPr>
          <w:rFonts w:hint="eastAsia" w:ascii="宋体" w:hAnsi="宋体"/>
          <w:color w:val="auto"/>
          <w:sz w:val="24"/>
        </w:rPr>
        <w:t xml:space="preserve">    3.投标人保证遵守招标文件的全部规定，投标人所提交的材料中所含的信息均为真实、准确、完整，且不具有任何误导性。</w:t>
      </w:r>
    </w:p>
    <w:p>
      <w:pPr>
        <w:spacing w:line="360" w:lineRule="auto"/>
        <w:rPr>
          <w:rFonts w:ascii="宋体" w:hAnsi="宋体"/>
          <w:color w:val="auto"/>
          <w:sz w:val="24"/>
        </w:rPr>
      </w:pPr>
      <w:r>
        <w:rPr>
          <w:rFonts w:hint="eastAsia" w:ascii="宋体" w:hAnsi="宋体"/>
          <w:color w:val="auto"/>
          <w:sz w:val="24"/>
        </w:rPr>
        <w:t xml:space="preserve">    4.投标人将按招标文件的规定履行合同责任和义务。</w:t>
      </w:r>
    </w:p>
    <w:p>
      <w:pPr>
        <w:spacing w:line="360" w:lineRule="auto"/>
        <w:rPr>
          <w:rFonts w:ascii="宋体" w:hAnsi="宋体"/>
          <w:color w:val="auto"/>
          <w:sz w:val="24"/>
        </w:rPr>
      </w:pPr>
      <w:r>
        <w:rPr>
          <w:rFonts w:hint="eastAsia" w:ascii="宋体" w:hAnsi="宋体"/>
          <w:color w:val="auto"/>
          <w:sz w:val="24"/>
        </w:rPr>
        <w:t xml:space="preserve">    5.本投标文件自开标日起投标有效期为：在招标文件投标人须知前附表第3项所规定的期限内保持有效。</w:t>
      </w:r>
    </w:p>
    <w:p>
      <w:pPr>
        <w:spacing w:line="360" w:lineRule="auto"/>
        <w:rPr>
          <w:rFonts w:ascii="宋体" w:hAnsi="宋体"/>
          <w:color w:val="auto"/>
          <w:sz w:val="24"/>
        </w:rPr>
      </w:pPr>
      <w:r>
        <w:rPr>
          <w:rFonts w:hint="eastAsia" w:ascii="宋体" w:hAnsi="宋体"/>
          <w:color w:val="auto"/>
          <w:sz w:val="24"/>
        </w:rPr>
        <w:t xml:space="preserve">    6.如果发生招标文件第二章投标人须知第12条所述情况，则同意招标代理机构不予退还投标保证金。</w:t>
      </w:r>
    </w:p>
    <w:p>
      <w:pPr>
        <w:spacing w:line="360" w:lineRule="auto"/>
        <w:ind w:firstLine="480" w:firstLineChars="200"/>
        <w:rPr>
          <w:rFonts w:ascii="宋体" w:hAnsi="宋体"/>
          <w:color w:val="auto"/>
          <w:sz w:val="24"/>
        </w:rPr>
      </w:pPr>
      <w:r>
        <w:rPr>
          <w:rFonts w:hint="eastAsia" w:ascii="宋体" w:hAnsi="宋体"/>
          <w:color w:val="auto"/>
          <w:sz w:val="24"/>
        </w:rPr>
        <w:t>7.投标人同意提供按照招标采购单位可能要求的与其投标有关的一切数据或资料，完全理解贵方不一定要接受最低的报价或收到的任何投标。</w:t>
      </w:r>
    </w:p>
    <w:p>
      <w:pPr>
        <w:spacing w:line="360" w:lineRule="auto"/>
        <w:ind w:firstLine="480" w:firstLineChars="200"/>
        <w:rPr>
          <w:rFonts w:ascii="宋体" w:hAnsi="宋体"/>
          <w:color w:val="auto"/>
          <w:sz w:val="24"/>
        </w:rPr>
      </w:pPr>
      <w:r>
        <w:rPr>
          <w:rFonts w:hint="eastAsia" w:ascii="宋体" w:hAnsi="宋体"/>
          <w:color w:val="auto"/>
          <w:sz w:val="24"/>
        </w:rPr>
        <w:t>8. 与本投标有关的一切正式往来通讯请寄：</w:t>
      </w:r>
    </w:p>
    <w:p>
      <w:pPr>
        <w:spacing w:line="360" w:lineRule="auto"/>
        <w:rPr>
          <w:rFonts w:ascii="宋体" w:hAnsi="宋体"/>
          <w:color w:val="auto"/>
          <w:sz w:val="24"/>
          <w:u w:val="single"/>
        </w:rPr>
      </w:pPr>
      <w:r>
        <w:rPr>
          <w:rFonts w:hint="eastAsia" w:ascii="宋体" w:hAnsi="宋体"/>
          <w:color w:val="auto"/>
          <w:sz w:val="24"/>
        </w:rPr>
        <w:t xml:space="preserve">      地址：  邮编： </w:t>
      </w:r>
    </w:p>
    <w:p>
      <w:pPr>
        <w:spacing w:line="360" w:lineRule="auto"/>
        <w:rPr>
          <w:rFonts w:ascii="宋体" w:hAnsi="宋体"/>
          <w:color w:val="auto"/>
          <w:sz w:val="24"/>
          <w:u w:val="single"/>
        </w:rPr>
      </w:pPr>
      <w:r>
        <w:rPr>
          <w:rFonts w:hint="eastAsia" w:ascii="宋体" w:hAnsi="宋体"/>
          <w:color w:val="auto"/>
          <w:sz w:val="24"/>
        </w:rPr>
        <w:t xml:space="preserve">      电话：  传真： </w:t>
      </w:r>
    </w:p>
    <w:p>
      <w:pPr>
        <w:spacing w:line="360" w:lineRule="auto"/>
        <w:rPr>
          <w:rFonts w:ascii="宋体" w:hAnsi="宋体"/>
          <w:color w:val="auto"/>
          <w:sz w:val="24"/>
          <w:u w:val="single"/>
        </w:rPr>
      </w:pPr>
      <w:r>
        <w:rPr>
          <w:rFonts w:hint="eastAsia" w:ascii="宋体" w:hAnsi="宋体"/>
          <w:color w:val="auto"/>
          <w:sz w:val="24"/>
        </w:rPr>
        <w:t xml:space="preserve">      投标人代表签字： </w:t>
      </w:r>
    </w:p>
    <w:p>
      <w:pPr>
        <w:spacing w:line="360" w:lineRule="auto"/>
        <w:rPr>
          <w:rFonts w:ascii="宋体" w:hAnsi="宋体"/>
          <w:color w:val="auto"/>
          <w:sz w:val="24"/>
        </w:rPr>
      </w:pPr>
      <w:r>
        <w:rPr>
          <w:rFonts w:hint="eastAsia" w:ascii="宋体" w:hAnsi="宋体"/>
          <w:color w:val="auto"/>
          <w:sz w:val="24"/>
        </w:rPr>
        <w:t xml:space="preserve">      投标人（全称并加盖公章）：</w:t>
      </w:r>
    </w:p>
    <w:p>
      <w:pPr>
        <w:spacing w:line="360" w:lineRule="auto"/>
        <w:rPr>
          <w:rFonts w:ascii="宋体" w:hAnsi="宋体"/>
          <w:color w:val="auto"/>
          <w:sz w:val="24"/>
        </w:rPr>
      </w:pPr>
      <w:r>
        <w:rPr>
          <w:rFonts w:hint="eastAsia" w:ascii="宋体" w:hAnsi="宋体"/>
          <w:color w:val="auto"/>
          <w:sz w:val="24"/>
        </w:rPr>
        <w:t xml:space="preserve">                                 日  期： 年 月 日</w:t>
      </w:r>
    </w:p>
    <w:p>
      <w:pPr>
        <w:spacing w:line="360" w:lineRule="auto"/>
        <w:rPr>
          <w:rFonts w:ascii="宋体" w:hAnsi="宋体"/>
          <w:color w:val="auto"/>
          <w:sz w:val="24"/>
        </w:rPr>
        <w:sectPr>
          <w:type w:val="nextColumn"/>
          <w:pgSz w:w="11907" w:h="16840"/>
          <w:pgMar w:top="1134" w:right="1474" w:bottom="1304" w:left="1474" w:header="454" w:footer="624" w:gutter="0"/>
          <w:cols w:space="720" w:num="1"/>
          <w:docGrid w:linePitch="323" w:charSpace="-2"/>
        </w:sectPr>
      </w:pPr>
    </w:p>
    <w:p>
      <w:pPr>
        <w:spacing w:line="360" w:lineRule="auto"/>
        <w:jc w:val="center"/>
        <w:rPr>
          <w:rFonts w:ascii="宋体" w:hAnsi="宋体"/>
          <w:b/>
          <w:color w:val="auto"/>
          <w:sz w:val="36"/>
        </w:rPr>
      </w:pPr>
      <w:r>
        <w:rPr>
          <w:rFonts w:hint="eastAsia" w:ascii="宋体" w:hAnsi="宋体"/>
          <w:b/>
          <w:color w:val="auto"/>
          <w:sz w:val="36"/>
        </w:rPr>
        <w:t>2、开标一览表</w:t>
      </w:r>
    </w:p>
    <w:p>
      <w:pPr>
        <w:spacing w:line="360" w:lineRule="auto"/>
        <w:rPr>
          <w:rFonts w:ascii="宋体" w:hAnsi="宋体"/>
          <w:color w:val="auto"/>
          <w:sz w:val="24"/>
        </w:rPr>
      </w:pPr>
      <w:r>
        <w:rPr>
          <w:rFonts w:hint="eastAsia" w:ascii="宋体" w:hAnsi="宋体"/>
          <w:color w:val="auto"/>
          <w:sz w:val="24"/>
        </w:rPr>
        <w:t>投标人名称：（全称并加盖公章）                                招标编号：                                   货币单位：</w:t>
      </w:r>
    </w:p>
    <w:tbl>
      <w:tblPr>
        <w:tblStyle w:val="37"/>
        <w:tblpPr w:leftFromText="180" w:rightFromText="180" w:vertAnchor="text" w:tblpXSpec="center" w:tblpY="1"/>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8"/>
        <w:gridCol w:w="1005"/>
        <w:gridCol w:w="2100"/>
        <w:gridCol w:w="1935"/>
        <w:gridCol w:w="1935"/>
        <w:gridCol w:w="58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64" w:hRule="atLeast"/>
        </w:trPr>
        <w:tc>
          <w:tcPr>
            <w:tcW w:w="1028" w:type="dxa"/>
            <w:noWrap/>
            <w:vAlign w:val="center"/>
          </w:tcPr>
          <w:p>
            <w:pPr>
              <w:spacing w:line="360" w:lineRule="auto"/>
              <w:jc w:val="center"/>
              <w:rPr>
                <w:rFonts w:ascii="宋体" w:hAnsi="宋体"/>
                <w:color w:val="auto"/>
                <w:sz w:val="24"/>
              </w:rPr>
            </w:pPr>
            <w:r>
              <w:rPr>
                <w:rFonts w:hint="eastAsia" w:ascii="宋体" w:hAnsi="宋体"/>
                <w:color w:val="auto"/>
                <w:sz w:val="24"/>
              </w:rPr>
              <w:t>合同包</w:t>
            </w:r>
          </w:p>
        </w:tc>
        <w:tc>
          <w:tcPr>
            <w:tcW w:w="1005" w:type="dxa"/>
            <w:noWrap/>
            <w:vAlign w:val="center"/>
          </w:tcPr>
          <w:p>
            <w:pPr>
              <w:spacing w:line="360" w:lineRule="auto"/>
              <w:jc w:val="center"/>
              <w:rPr>
                <w:rFonts w:ascii="宋体" w:hAnsi="宋体"/>
                <w:color w:val="auto"/>
                <w:sz w:val="24"/>
              </w:rPr>
            </w:pPr>
            <w:r>
              <w:rPr>
                <w:rFonts w:hint="eastAsia" w:ascii="宋体" w:hAnsi="宋体"/>
                <w:color w:val="auto"/>
                <w:sz w:val="24"/>
              </w:rPr>
              <w:t>品目号</w:t>
            </w:r>
          </w:p>
        </w:tc>
        <w:tc>
          <w:tcPr>
            <w:tcW w:w="2100" w:type="dxa"/>
            <w:noWrap/>
            <w:vAlign w:val="center"/>
          </w:tcPr>
          <w:p>
            <w:pPr>
              <w:spacing w:line="380" w:lineRule="exact"/>
              <w:jc w:val="center"/>
              <w:rPr>
                <w:rFonts w:ascii="宋体" w:hAnsi="宋体"/>
                <w:color w:val="auto"/>
                <w:sz w:val="24"/>
              </w:rPr>
            </w:pPr>
            <w:r>
              <w:rPr>
                <w:rFonts w:hint="eastAsia" w:ascii="宋体" w:hAnsi="宋体"/>
                <w:color w:val="auto"/>
                <w:sz w:val="24"/>
              </w:rPr>
              <w:t>项目名称</w:t>
            </w:r>
          </w:p>
        </w:tc>
        <w:tc>
          <w:tcPr>
            <w:tcW w:w="1935" w:type="dxa"/>
            <w:noWrap/>
            <w:vAlign w:val="center"/>
          </w:tcPr>
          <w:p>
            <w:pPr>
              <w:spacing w:line="360" w:lineRule="auto"/>
              <w:jc w:val="center"/>
              <w:rPr>
                <w:rFonts w:ascii="宋体" w:hAnsi="宋体"/>
                <w:color w:val="auto"/>
                <w:sz w:val="24"/>
              </w:rPr>
            </w:pPr>
            <w:r>
              <w:rPr>
                <w:rFonts w:hint="eastAsia" w:ascii="宋体" w:hAnsi="宋体"/>
                <w:color w:val="auto"/>
                <w:sz w:val="24"/>
              </w:rPr>
              <w:t>服务期限</w:t>
            </w:r>
          </w:p>
        </w:tc>
        <w:tc>
          <w:tcPr>
            <w:tcW w:w="1935" w:type="dxa"/>
            <w:tcBorders>
              <w:right w:val="single" w:color="auto" w:sz="4" w:space="0"/>
            </w:tcBorders>
            <w:noWrap/>
            <w:vAlign w:val="center"/>
          </w:tcPr>
          <w:p>
            <w:pPr>
              <w:spacing w:line="360" w:lineRule="auto"/>
              <w:jc w:val="center"/>
              <w:rPr>
                <w:rFonts w:ascii="宋体" w:hAnsi="宋体"/>
                <w:color w:val="auto"/>
                <w:sz w:val="24"/>
              </w:rPr>
            </w:pPr>
            <w:r>
              <w:rPr>
                <w:rFonts w:hint="eastAsia" w:ascii="宋体" w:hAnsi="宋体"/>
                <w:color w:val="auto"/>
                <w:sz w:val="24"/>
              </w:rPr>
              <w:t>投标保证金</w:t>
            </w:r>
          </w:p>
        </w:tc>
        <w:tc>
          <w:tcPr>
            <w:tcW w:w="5898" w:type="dxa"/>
            <w:tcBorders>
              <w:left w:val="single" w:color="auto" w:sz="4" w:space="0"/>
            </w:tcBorders>
            <w:noWrap/>
            <w:vAlign w:val="center"/>
          </w:tcPr>
          <w:p>
            <w:pPr>
              <w:spacing w:line="360" w:lineRule="auto"/>
              <w:jc w:val="center"/>
              <w:rPr>
                <w:rFonts w:ascii="宋体" w:hAnsi="宋体"/>
                <w:color w:val="auto"/>
                <w:sz w:val="24"/>
              </w:rPr>
            </w:pPr>
            <w:r>
              <w:rPr>
                <w:rFonts w:hint="eastAsia" w:ascii="宋体" w:hAnsi="宋体"/>
                <w:color w:val="auto"/>
                <w:sz w:val="24"/>
              </w:rPr>
              <w:t>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 w:hRule="atLeast"/>
        </w:trPr>
        <w:tc>
          <w:tcPr>
            <w:tcW w:w="1028" w:type="dxa"/>
            <w:noWrap/>
          </w:tcPr>
          <w:p>
            <w:pPr>
              <w:spacing w:line="360" w:lineRule="auto"/>
              <w:rPr>
                <w:rFonts w:ascii="宋体" w:hAnsi="宋体"/>
                <w:color w:val="auto"/>
                <w:sz w:val="24"/>
              </w:rPr>
            </w:pPr>
          </w:p>
        </w:tc>
        <w:tc>
          <w:tcPr>
            <w:tcW w:w="1005" w:type="dxa"/>
            <w:noWrap/>
            <w:vAlign w:val="center"/>
          </w:tcPr>
          <w:p>
            <w:pPr>
              <w:spacing w:line="360" w:lineRule="auto"/>
              <w:rPr>
                <w:rFonts w:ascii="宋体" w:hAnsi="宋体"/>
                <w:color w:val="auto"/>
                <w:sz w:val="24"/>
              </w:rPr>
            </w:pPr>
          </w:p>
        </w:tc>
        <w:tc>
          <w:tcPr>
            <w:tcW w:w="2100" w:type="dxa"/>
            <w:noWrap/>
            <w:vAlign w:val="center"/>
          </w:tcPr>
          <w:p>
            <w:pPr>
              <w:spacing w:line="360" w:lineRule="auto"/>
              <w:rPr>
                <w:rFonts w:ascii="宋体" w:hAnsi="宋体"/>
                <w:color w:val="auto"/>
                <w:sz w:val="24"/>
              </w:rPr>
            </w:pPr>
            <w:r>
              <w:rPr>
                <w:rFonts w:hint="eastAsia" w:ascii="宋体" w:hAnsi="宋体"/>
                <w:color w:val="auto"/>
                <w:sz w:val="24"/>
              </w:rPr>
              <w:t>机动车辆商业险</w:t>
            </w:r>
          </w:p>
        </w:tc>
        <w:tc>
          <w:tcPr>
            <w:tcW w:w="1935" w:type="dxa"/>
            <w:noWrap/>
            <w:vAlign w:val="center"/>
          </w:tcPr>
          <w:p>
            <w:pPr>
              <w:spacing w:line="360" w:lineRule="auto"/>
              <w:rPr>
                <w:rFonts w:ascii="宋体" w:hAnsi="宋体"/>
                <w:color w:val="auto"/>
                <w:sz w:val="24"/>
              </w:rPr>
            </w:pPr>
          </w:p>
        </w:tc>
        <w:tc>
          <w:tcPr>
            <w:tcW w:w="1935" w:type="dxa"/>
            <w:tcBorders>
              <w:right w:val="single" w:color="auto" w:sz="4" w:space="0"/>
            </w:tcBorders>
            <w:noWrap/>
            <w:vAlign w:val="center"/>
          </w:tcPr>
          <w:p>
            <w:pPr>
              <w:spacing w:line="360" w:lineRule="auto"/>
              <w:rPr>
                <w:rFonts w:ascii="宋体" w:hAnsi="宋体"/>
                <w:color w:val="auto"/>
                <w:sz w:val="24"/>
              </w:rPr>
            </w:pPr>
          </w:p>
        </w:tc>
        <w:tc>
          <w:tcPr>
            <w:tcW w:w="5898" w:type="dxa"/>
            <w:tcBorders>
              <w:left w:val="single" w:color="auto" w:sz="4" w:space="0"/>
            </w:tcBorders>
            <w:noWrap/>
            <w:vAlign w:val="center"/>
          </w:tcPr>
          <w:p>
            <w:pPr>
              <w:spacing w:line="360" w:lineRule="auto"/>
              <w:rPr>
                <w:rFonts w:ascii="宋体" w:hAnsi="宋体"/>
                <w:color w:val="auto"/>
                <w:sz w:val="24"/>
                <w:u w:val="single"/>
              </w:rPr>
            </w:pPr>
            <w:r>
              <w:rPr>
                <w:rFonts w:hint="eastAsia" w:ascii="宋体" w:hAnsi="宋体" w:cs="宋体"/>
                <w:bCs/>
                <w:color w:val="auto"/>
                <w:sz w:val="24"/>
                <w:szCs w:val="24"/>
              </w:rPr>
              <w:t>机动车商业保险自主定价系数</w:t>
            </w:r>
            <w:r>
              <w:rPr>
                <w:rFonts w:hint="eastAsia" w:ascii="宋体" w:hAnsi="宋体"/>
                <w:bCs/>
                <w:color w:val="auto"/>
                <w:sz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 w:hRule="atLeast"/>
        </w:trPr>
        <w:tc>
          <w:tcPr>
            <w:tcW w:w="1028" w:type="dxa"/>
            <w:noWrap/>
          </w:tcPr>
          <w:p>
            <w:pPr>
              <w:spacing w:line="360" w:lineRule="auto"/>
              <w:rPr>
                <w:rFonts w:ascii="宋体" w:hAnsi="宋体"/>
                <w:color w:val="auto"/>
              </w:rPr>
            </w:pPr>
          </w:p>
        </w:tc>
        <w:tc>
          <w:tcPr>
            <w:tcW w:w="1005" w:type="dxa"/>
            <w:noWrap/>
            <w:vAlign w:val="center"/>
          </w:tcPr>
          <w:p>
            <w:pPr>
              <w:spacing w:line="360" w:lineRule="auto"/>
              <w:rPr>
                <w:rFonts w:ascii="宋体" w:hAnsi="宋体"/>
                <w:color w:val="auto"/>
              </w:rPr>
            </w:pPr>
          </w:p>
        </w:tc>
        <w:tc>
          <w:tcPr>
            <w:tcW w:w="2100" w:type="dxa"/>
            <w:noWrap/>
            <w:vAlign w:val="center"/>
          </w:tcPr>
          <w:p>
            <w:pPr>
              <w:spacing w:line="360" w:lineRule="auto"/>
              <w:rPr>
                <w:rFonts w:ascii="宋体" w:hAnsi="宋体"/>
                <w:color w:val="auto"/>
              </w:rPr>
            </w:pPr>
            <w:r>
              <w:rPr>
                <w:rFonts w:hint="eastAsia" w:ascii="宋体" w:hAnsi="宋体"/>
                <w:color w:val="auto"/>
                <w:sz w:val="24"/>
              </w:rPr>
              <w:t>承运人责任险</w:t>
            </w:r>
          </w:p>
        </w:tc>
        <w:tc>
          <w:tcPr>
            <w:tcW w:w="1935" w:type="dxa"/>
            <w:noWrap/>
            <w:vAlign w:val="center"/>
          </w:tcPr>
          <w:p>
            <w:pPr>
              <w:spacing w:line="360" w:lineRule="auto"/>
              <w:rPr>
                <w:rFonts w:ascii="宋体" w:hAnsi="宋体"/>
                <w:color w:val="auto"/>
              </w:rPr>
            </w:pPr>
          </w:p>
        </w:tc>
        <w:tc>
          <w:tcPr>
            <w:tcW w:w="1935" w:type="dxa"/>
            <w:tcBorders>
              <w:right w:val="single" w:color="auto" w:sz="4" w:space="0"/>
            </w:tcBorders>
            <w:noWrap/>
            <w:vAlign w:val="center"/>
          </w:tcPr>
          <w:p>
            <w:pPr>
              <w:spacing w:line="360" w:lineRule="auto"/>
              <w:rPr>
                <w:rFonts w:ascii="宋体" w:hAnsi="宋体"/>
                <w:color w:val="auto"/>
              </w:rPr>
            </w:pPr>
          </w:p>
        </w:tc>
        <w:tc>
          <w:tcPr>
            <w:tcW w:w="5898" w:type="dxa"/>
            <w:tcBorders>
              <w:left w:val="single" w:color="auto" w:sz="4" w:space="0"/>
            </w:tcBorders>
            <w:noWrap/>
            <w:vAlign w:val="center"/>
          </w:tcPr>
          <w:p>
            <w:pPr>
              <w:spacing w:line="360" w:lineRule="auto"/>
              <w:rPr>
                <w:rFonts w:ascii="宋体" w:hAnsi="宋体"/>
                <w:color w:val="auto"/>
              </w:rPr>
            </w:pPr>
            <w:r>
              <w:rPr>
                <w:rFonts w:hint="eastAsia" w:ascii="宋体" w:hAnsi="宋体"/>
                <w:color w:val="auto"/>
                <w:sz w:val="24"/>
              </w:rPr>
              <w:t>承运人责任险保费报价为</w:t>
            </w:r>
            <w:r>
              <w:rPr>
                <w:rFonts w:hint="eastAsia" w:ascii="宋体" w:hAnsi="宋体"/>
                <w:color w:val="auto"/>
                <w:sz w:val="24"/>
                <w:u w:val="single"/>
              </w:rPr>
              <w:t xml:space="preserve">       </w:t>
            </w:r>
            <w:r>
              <w:rPr>
                <w:rFonts w:hint="eastAsia" w:ascii="宋体" w:hAnsi="宋体"/>
                <w:color w:val="auto"/>
                <w:sz w:val="24"/>
              </w:rPr>
              <w:t>元/座·年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 w:hRule="atLeast"/>
        </w:trPr>
        <w:tc>
          <w:tcPr>
            <w:tcW w:w="1028" w:type="dxa"/>
            <w:noWrap/>
          </w:tcPr>
          <w:p>
            <w:pPr>
              <w:spacing w:line="360" w:lineRule="auto"/>
              <w:rPr>
                <w:rFonts w:ascii="宋体" w:hAnsi="宋体"/>
                <w:color w:val="auto"/>
              </w:rPr>
            </w:pPr>
          </w:p>
        </w:tc>
        <w:tc>
          <w:tcPr>
            <w:tcW w:w="1005" w:type="dxa"/>
            <w:noWrap/>
            <w:vAlign w:val="center"/>
          </w:tcPr>
          <w:p>
            <w:pPr>
              <w:spacing w:line="360" w:lineRule="auto"/>
              <w:rPr>
                <w:rFonts w:ascii="宋体" w:hAnsi="宋体"/>
                <w:color w:val="auto"/>
              </w:rPr>
            </w:pPr>
          </w:p>
        </w:tc>
        <w:tc>
          <w:tcPr>
            <w:tcW w:w="2100" w:type="dxa"/>
            <w:noWrap/>
            <w:vAlign w:val="center"/>
          </w:tcPr>
          <w:p>
            <w:pPr>
              <w:spacing w:line="360" w:lineRule="auto"/>
              <w:rPr>
                <w:rFonts w:ascii="宋体" w:hAnsi="宋体"/>
                <w:color w:val="auto"/>
                <w:sz w:val="24"/>
              </w:rPr>
            </w:pPr>
            <w:r>
              <w:rPr>
                <w:rFonts w:hint="eastAsia" w:ascii="宋体" w:hAnsi="宋体"/>
                <w:color w:val="auto"/>
                <w:sz w:val="24"/>
              </w:rPr>
              <w:t>安全生产责任险</w:t>
            </w:r>
          </w:p>
        </w:tc>
        <w:tc>
          <w:tcPr>
            <w:tcW w:w="1935" w:type="dxa"/>
            <w:noWrap/>
            <w:vAlign w:val="center"/>
          </w:tcPr>
          <w:p>
            <w:pPr>
              <w:spacing w:line="360" w:lineRule="auto"/>
              <w:rPr>
                <w:rFonts w:ascii="宋体" w:hAnsi="宋体"/>
                <w:color w:val="auto"/>
              </w:rPr>
            </w:pPr>
          </w:p>
        </w:tc>
        <w:tc>
          <w:tcPr>
            <w:tcW w:w="1935" w:type="dxa"/>
            <w:tcBorders>
              <w:right w:val="single" w:color="auto" w:sz="4" w:space="0"/>
            </w:tcBorders>
            <w:noWrap/>
            <w:vAlign w:val="center"/>
          </w:tcPr>
          <w:p>
            <w:pPr>
              <w:spacing w:line="360" w:lineRule="auto"/>
              <w:rPr>
                <w:rFonts w:ascii="宋体" w:hAnsi="宋体"/>
                <w:color w:val="auto"/>
              </w:rPr>
            </w:pPr>
          </w:p>
        </w:tc>
        <w:tc>
          <w:tcPr>
            <w:tcW w:w="5898" w:type="dxa"/>
            <w:tcBorders>
              <w:left w:val="single" w:color="auto" w:sz="4" w:space="0"/>
            </w:tcBorders>
            <w:noWrap/>
            <w:vAlign w:val="center"/>
          </w:tcPr>
          <w:p>
            <w:pPr>
              <w:spacing w:line="360" w:lineRule="auto"/>
              <w:rPr>
                <w:rFonts w:ascii="宋体" w:hAnsi="宋体"/>
                <w:color w:val="auto"/>
                <w:sz w:val="24"/>
              </w:rPr>
            </w:pPr>
            <w:r>
              <w:rPr>
                <w:rFonts w:hint="eastAsia" w:ascii="宋体" w:hAnsi="宋体" w:cs="宋体"/>
                <w:bCs/>
                <w:color w:val="auto"/>
                <w:sz w:val="24"/>
                <w:szCs w:val="24"/>
              </w:rPr>
              <w:t>安全生产责任险外勤人员赔偿限额</w:t>
            </w:r>
            <w:r>
              <w:rPr>
                <w:rFonts w:hint="eastAsia" w:ascii="宋体" w:hAnsi="宋体"/>
                <w:bCs/>
                <w:color w:val="auto"/>
                <w:sz w:val="24"/>
              </w:rPr>
              <w:t>报价</w:t>
            </w:r>
            <w:r>
              <w:rPr>
                <w:rFonts w:hint="eastAsia" w:ascii="宋体" w:hAnsi="宋体"/>
                <w:bCs/>
                <w:color w:val="auto"/>
                <w:sz w:val="24"/>
                <w:u w:val="single"/>
              </w:rPr>
              <w:t xml:space="preserve">    </w:t>
            </w:r>
            <w:r>
              <w:rPr>
                <w:rFonts w:hint="eastAsia" w:ascii="宋体" w:hAnsi="宋体" w:cs="宋体"/>
                <w:bCs/>
                <w:color w:val="auto"/>
                <w:sz w:val="24"/>
                <w:szCs w:val="24"/>
              </w:rPr>
              <w:t>万元；内勤人员赔偿限额</w:t>
            </w:r>
            <w:r>
              <w:rPr>
                <w:rFonts w:hint="eastAsia" w:ascii="宋体" w:hAnsi="宋体"/>
                <w:bCs/>
                <w:color w:val="auto"/>
                <w:sz w:val="24"/>
              </w:rPr>
              <w:t>报价</w:t>
            </w:r>
            <w:r>
              <w:rPr>
                <w:rFonts w:hint="eastAsia" w:ascii="宋体" w:hAnsi="宋体"/>
                <w:bCs/>
                <w:color w:val="auto"/>
                <w:sz w:val="24"/>
                <w:u w:val="single"/>
              </w:rPr>
              <w:t xml:space="preserve">    </w:t>
            </w:r>
            <w:r>
              <w:rPr>
                <w:rFonts w:hint="eastAsia" w:ascii="宋体" w:hAnsi="宋体" w:cs="宋体"/>
                <w:bCs/>
                <w:color w:val="auto"/>
                <w:sz w:val="24"/>
                <w:szCs w:val="24"/>
              </w:rPr>
              <w:t>万元。</w:t>
            </w:r>
          </w:p>
        </w:tc>
      </w:tr>
    </w:tbl>
    <w:p>
      <w:pPr>
        <w:spacing w:line="360" w:lineRule="auto"/>
        <w:ind w:left="720" w:hanging="720" w:hangingChars="300"/>
        <w:rPr>
          <w:rFonts w:ascii="宋体" w:hAnsi="宋体"/>
          <w:color w:val="auto"/>
          <w:sz w:val="24"/>
        </w:rPr>
      </w:pPr>
    </w:p>
    <w:p>
      <w:pPr>
        <w:pStyle w:val="2"/>
        <w:rPr>
          <w:color w:val="auto"/>
        </w:rPr>
      </w:pPr>
    </w:p>
    <w:p>
      <w:pPr>
        <w:spacing w:line="360" w:lineRule="auto"/>
        <w:ind w:left="720" w:hanging="720" w:hangingChars="300"/>
        <w:rPr>
          <w:rFonts w:ascii="宋体" w:hAnsi="宋体"/>
          <w:color w:val="auto"/>
          <w:sz w:val="24"/>
          <w:u w:val="single"/>
        </w:rPr>
      </w:pPr>
      <w:r>
        <w:rPr>
          <w:rFonts w:hint="eastAsia" w:ascii="宋体" w:hAnsi="宋体"/>
          <w:color w:val="auto"/>
          <w:sz w:val="24"/>
        </w:rPr>
        <w:t>注：</w:t>
      </w:r>
    </w:p>
    <w:p>
      <w:pPr>
        <w:spacing w:line="360" w:lineRule="auto"/>
        <w:ind w:firstLine="480" w:firstLineChars="200"/>
        <w:rPr>
          <w:rFonts w:ascii="宋体" w:hAnsi="宋体"/>
          <w:color w:val="auto"/>
          <w:sz w:val="24"/>
        </w:rPr>
      </w:pPr>
      <w:r>
        <w:rPr>
          <w:rFonts w:hint="eastAsia" w:ascii="宋体" w:hAnsi="宋体"/>
          <w:color w:val="auto"/>
          <w:sz w:val="24"/>
        </w:rPr>
        <w:t>1.详细报价清单应另纸详列，且标明所报各种车辆的数量及保费金额。</w:t>
      </w:r>
    </w:p>
    <w:p>
      <w:pPr>
        <w:spacing w:line="360" w:lineRule="auto"/>
        <w:ind w:firstLine="420"/>
        <w:rPr>
          <w:rFonts w:ascii="宋体" w:hAnsi="宋体"/>
          <w:color w:val="auto"/>
          <w:sz w:val="24"/>
        </w:rPr>
      </w:pPr>
      <w:r>
        <w:rPr>
          <w:rFonts w:hint="eastAsia" w:ascii="宋体" w:hAnsi="宋体"/>
          <w:color w:val="auto"/>
          <w:sz w:val="24"/>
        </w:rPr>
        <w:t>2.当一个合同包有多个品目号时，供应商应计算出该合同包的合计价。</w:t>
      </w:r>
    </w:p>
    <w:p>
      <w:pPr>
        <w:spacing w:line="360" w:lineRule="auto"/>
        <w:rPr>
          <w:rFonts w:ascii="宋体" w:hAnsi="宋体"/>
          <w:color w:val="auto"/>
          <w:sz w:val="24"/>
        </w:rPr>
      </w:pPr>
    </w:p>
    <w:p>
      <w:pPr>
        <w:spacing w:line="360" w:lineRule="auto"/>
        <w:rPr>
          <w:rFonts w:ascii="宋体" w:hAnsi="宋体"/>
          <w:color w:val="auto"/>
          <w:u w:val="single"/>
        </w:rPr>
      </w:pPr>
      <w:r>
        <w:rPr>
          <w:rFonts w:hint="eastAsia" w:ascii="宋体" w:hAnsi="宋体"/>
          <w:color w:val="auto"/>
          <w:sz w:val="24"/>
        </w:rPr>
        <w:t>投标代表签字：</w:t>
      </w:r>
    </w:p>
    <w:p>
      <w:pPr>
        <w:spacing w:line="360" w:lineRule="auto"/>
        <w:rPr>
          <w:rFonts w:ascii="宋体" w:hAnsi="宋体"/>
          <w:b/>
          <w:color w:val="auto"/>
          <w:sz w:val="24"/>
        </w:rPr>
        <w:sectPr>
          <w:pgSz w:w="16840" w:h="11907" w:orient="landscape"/>
          <w:pgMar w:top="1474" w:right="1134" w:bottom="1474" w:left="1304" w:header="454" w:footer="624" w:gutter="0"/>
          <w:cols w:space="720" w:num="1"/>
          <w:docGrid w:linePitch="323" w:charSpace="-2"/>
        </w:sectPr>
      </w:pPr>
      <w:r>
        <w:rPr>
          <w:rFonts w:hint="eastAsia" w:ascii="宋体" w:hAnsi="宋体"/>
          <w:color w:val="auto"/>
          <w:sz w:val="24"/>
        </w:rPr>
        <w:t>日期：</w:t>
      </w:r>
    </w:p>
    <w:p>
      <w:pPr>
        <w:spacing w:line="360" w:lineRule="auto"/>
        <w:outlineLvl w:val="1"/>
        <w:rPr>
          <w:rFonts w:ascii="宋体" w:hAnsi="宋体"/>
          <w:b/>
          <w:color w:val="auto"/>
          <w:sz w:val="72"/>
        </w:rPr>
      </w:pPr>
      <w:bookmarkStart w:id="60" w:name="_Toc352224160"/>
      <w:r>
        <w:rPr>
          <w:rFonts w:hint="eastAsia" w:ascii="宋体" w:hAnsi="宋体"/>
          <w:color w:val="auto"/>
          <w:sz w:val="32"/>
          <w:szCs w:val="32"/>
        </w:rPr>
        <w:t>封面格式：</w:t>
      </w:r>
      <w:bookmarkEnd w:id="60"/>
    </w:p>
    <w:p>
      <w:pPr>
        <w:spacing w:line="360" w:lineRule="auto"/>
        <w:jc w:val="center"/>
        <w:rPr>
          <w:rFonts w:ascii="宋体" w:hAnsi="宋体"/>
          <w:b/>
          <w:color w:val="auto"/>
          <w:sz w:val="72"/>
        </w:rPr>
      </w:pPr>
      <w:r>
        <w:rPr>
          <w:rFonts w:hint="eastAsia" w:ascii="宋体" w:hAnsi="宋体"/>
          <w:b/>
          <w:color w:val="auto"/>
          <w:sz w:val="72"/>
        </w:rPr>
        <w:t>政府采购项目</w:t>
      </w:r>
    </w:p>
    <w:p>
      <w:pPr>
        <w:spacing w:line="360" w:lineRule="auto"/>
        <w:jc w:val="center"/>
        <w:rPr>
          <w:rFonts w:ascii="宋体" w:hAnsi="宋体"/>
          <w:b/>
          <w:color w:val="auto"/>
          <w:sz w:val="72"/>
        </w:rPr>
      </w:pPr>
      <w:r>
        <w:rPr>
          <w:rFonts w:hint="eastAsia" w:ascii="宋体" w:hAnsi="宋体"/>
          <w:b/>
          <w:color w:val="auto"/>
          <w:sz w:val="72"/>
        </w:rPr>
        <w:t>投  标  文  件</w:t>
      </w:r>
    </w:p>
    <w:p>
      <w:pPr>
        <w:spacing w:line="360" w:lineRule="auto"/>
        <w:jc w:val="center"/>
        <w:rPr>
          <w:rFonts w:ascii="宋体" w:hAnsi="宋体"/>
          <w:b/>
          <w:color w:val="auto"/>
          <w:sz w:val="44"/>
          <w:szCs w:val="44"/>
        </w:rPr>
      </w:pPr>
      <w:r>
        <w:rPr>
          <w:rFonts w:hint="eastAsia" w:ascii="宋体" w:hAnsi="宋体"/>
          <w:b/>
          <w:color w:val="auto"/>
          <w:sz w:val="44"/>
          <w:szCs w:val="44"/>
        </w:rPr>
        <w:t>(正本/副本)</w:t>
      </w:r>
    </w:p>
    <w:p>
      <w:pPr>
        <w:spacing w:line="360" w:lineRule="auto"/>
        <w:jc w:val="center"/>
        <w:rPr>
          <w:rFonts w:ascii="宋体" w:hAnsi="宋体"/>
          <w:b/>
          <w:color w:val="auto"/>
          <w:sz w:val="48"/>
          <w:szCs w:val="48"/>
        </w:rPr>
      </w:pPr>
      <w:r>
        <w:rPr>
          <w:rFonts w:hint="eastAsia" w:ascii="宋体" w:hAnsi="宋体"/>
          <w:b/>
          <w:color w:val="auto"/>
          <w:sz w:val="48"/>
          <w:szCs w:val="48"/>
        </w:rPr>
        <w:t>技术商务部分</w:t>
      </w:r>
    </w:p>
    <w:p>
      <w:pPr>
        <w:spacing w:line="360" w:lineRule="auto"/>
        <w:jc w:val="center"/>
        <w:rPr>
          <w:rFonts w:ascii="宋体" w:hAnsi="宋体"/>
          <w:b/>
          <w:color w:val="auto"/>
          <w:sz w:val="36"/>
        </w:rPr>
      </w:pPr>
    </w:p>
    <w:p>
      <w:pPr>
        <w:spacing w:line="360" w:lineRule="auto"/>
        <w:ind w:firstLine="1084" w:firstLineChars="300"/>
        <w:rPr>
          <w:rFonts w:ascii="宋体" w:hAnsi="宋体"/>
          <w:b/>
          <w:color w:val="auto"/>
          <w:sz w:val="36"/>
        </w:rPr>
      </w:pPr>
    </w:p>
    <w:p>
      <w:pPr>
        <w:spacing w:line="360" w:lineRule="auto"/>
        <w:ind w:firstLine="1084" w:firstLineChars="300"/>
        <w:rPr>
          <w:rFonts w:ascii="宋体" w:hAnsi="宋体"/>
          <w:b/>
          <w:color w:val="auto"/>
          <w:sz w:val="36"/>
        </w:rPr>
      </w:pPr>
      <w:r>
        <w:rPr>
          <w:rFonts w:hint="eastAsia" w:ascii="宋体" w:hAnsi="宋体"/>
          <w:b/>
          <w:color w:val="auto"/>
          <w:sz w:val="36"/>
        </w:rPr>
        <w:t>项 目 名 称：</w:t>
      </w:r>
    </w:p>
    <w:p>
      <w:pPr>
        <w:spacing w:line="360" w:lineRule="auto"/>
        <w:ind w:firstLine="1084" w:firstLineChars="300"/>
        <w:rPr>
          <w:rFonts w:ascii="宋体" w:hAnsi="宋体"/>
          <w:b/>
          <w:color w:val="auto"/>
          <w:sz w:val="36"/>
          <w:u w:val="single"/>
        </w:rPr>
      </w:pPr>
      <w:r>
        <w:rPr>
          <w:rFonts w:hint="eastAsia" w:ascii="宋体" w:hAnsi="宋体"/>
          <w:b/>
          <w:color w:val="auto"/>
          <w:sz w:val="36"/>
        </w:rPr>
        <w:t>招 标 编 号：</w:t>
      </w:r>
    </w:p>
    <w:p>
      <w:pPr>
        <w:spacing w:line="360" w:lineRule="auto"/>
        <w:ind w:firstLine="1066" w:firstLineChars="295"/>
        <w:rPr>
          <w:rFonts w:ascii="宋体" w:hAnsi="宋体"/>
          <w:b/>
          <w:color w:val="auto"/>
          <w:sz w:val="36"/>
        </w:rPr>
      </w:pPr>
      <w:r>
        <w:rPr>
          <w:rFonts w:hint="eastAsia" w:ascii="宋体" w:hAnsi="宋体"/>
          <w:b/>
          <w:color w:val="auto"/>
          <w:sz w:val="36"/>
        </w:rPr>
        <w:t>所投合同包：</w:t>
      </w:r>
    </w:p>
    <w:p>
      <w:pPr>
        <w:spacing w:line="360" w:lineRule="auto"/>
        <w:rPr>
          <w:rFonts w:ascii="宋体" w:hAnsi="宋体"/>
          <w:b/>
          <w:color w:val="auto"/>
          <w:sz w:val="36"/>
        </w:rPr>
      </w:pPr>
    </w:p>
    <w:p>
      <w:pPr>
        <w:spacing w:line="360" w:lineRule="auto"/>
        <w:rPr>
          <w:rFonts w:ascii="宋体" w:hAnsi="宋体"/>
          <w:b/>
          <w:color w:val="auto"/>
          <w:sz w:val="36"/>
        </w:rPr>
      </w:pPr>
    </w:p>
    <w:p>
      <w:pPr>
        <w:spacing w:line="360" w:lineRule="auto"/>
        <w:rPr>
          <w:rFonts w:ascii="宋体" w:hAnsi="宋体"/>
          <w:b/>
          <w:color w:val="auto"/>
          <w:sz w:val="36"/>
        </w:rPr>
      </w:pPr>
    </w:p>
    <w:p>
      <w:pPr>
        <w:spacing w:line="360" w:lineRule="auto"/>
        <w:rPr>
          <w:rFonts w:ascii="宋体" w:hAnsi="宋体"/>
          <w:b/>
          <w:color w:val="auto"/>
          <w:sz w:val="36"/>
        </w:rPr>
      </w:pPr>
    </w:p>
    <w:p>
      <w:pPr>
        <w:spacing w:line="360" w:lineRule="auto"/>
        <w:rPr>
          <w:rFonts w:ascii="宋体" w:hAnsi="宋体"/>
          <w:b/>
          <w:color w:val="auto"/>
          <w:sz w:val="36"/>
          <w:u w:val="single"/>
        </w:rPr>
      </w:pPr>
      <w:r>
        <w:rPr>
          <w:rFonts w:hint="eastAsia" w:ascii="宋体" w:hAnsi="宋体"/>
          <w:b/>
          <w:color w:val="auto"/>
          <w:sz w:val="36"/>
        </w:rPr>
        <w:t xml:space="preserve">       投标人名称 ：</w:t>
      </w:r>
      <w:r>
        <w:rPr>
          <w:rFonts w:hint="eastAsia" w:ascii="宋体" w:hAnsi="宋体"/>
          <w:b/>
          <w:color w:val="auto"/>
          <w:sz w:val="32"/>
          <w:szCs w:val="32"/>
          <w:u w:val="single"/>
        </w:rPr>
        <w:t>(全称并加盖公章)</w:t>
      </w:r>
    </w:p>
    <w:p>
      <w:pPr>
        <w:spacing w:line="360" w:lineRule="auto"/>
        <w:rPr>
          <w:rFonts w:ascii="宋体" w:hAnsi="宋体"/>
          <w:b/>
          <w:color w:val="auto"/>
          <w:sz w:val="36"/>
        </w:rPr>
      </w:pPr>
      <w:r>
        <w:rPr>
          <w:rFonts w:hint="eastAsia" w:ascii="宋体" w:hAnsi="宋体"/>
          <w:b/>
          <w:color w:val="auto"/>
          <w:sz w:val="36"/>
        </w:rPr>
        <w:t xml:space="preserve">       日      期 ：</w:t>
      </w:r>
    </w:p>
    <w:p>
      <w:pPr>
        <w:pStyle w:val="84"/>
        <w:spacing w:line="360" w:lineRule="auto"/>
        <w:jc w:val="left"/>
        <w:outlineLvl w:val="9"/>
        <w:rPr>
          <w:rFonts w:hAnsi="宋体"/>
          <w:b/>
          <w:color w:val="auto"/>
          <w:sz w:val="24"/>
        </w:rPr>
      </w:pPr>
      <w:r>
        <w:rPr>
          <w:rFonts w:hint="eastAsia" w:hAnsi="宋体"/>
          <w:b/>
          <w:color w:val="auto"/>
          <w:sz w:val="36"/>
          <w:szCs w:val="24"/>
        </w:rPr>
        <w:t xml:space="preserve">       联 系 电 话：</w:t>
      </w:r>
    </w:p>
    <w:p>
      <w:pPr>
        <w:pStyle w:val="84"/>
        <w:spacing w:line="360" w:lineRule="auto"/>
        <w:jc w:val="left"/>
        <w:outlineLvl w:val="9"/>
        <w:rPr>
          <w:rFonts w:hAnsi="宋体"/>
          <w:b/>
          <w:color w:val="auto"/>
          <w:sz w:val="24"/>
        </w:rPr>
      </w:pPr>
    </w:p>
    <w:p>
      <w:pPr>
        <w:pStyle w:val="9"/>
        <w:snapToGrid w:val="0"/>
        <w:spacing w:line="360" w:lineRule="auto"/>
        <w:ind w:firstLine="0"/>
        <w:jc w:val="center"/>
        <w:outlineLvl w:val="1"/>
        <w:rPr>
          <w:rFonts w:ascii="宋体" w:hAnsi="宋体"/>
          <w:b/>
          <w:bCs/>
          <w:color w:val="auto"/>
          <w:sz w:val="72"/>
          <w:szCs w:val="72"/>
        </w:rPr>
      </w:pPr>
      <w:bookmarkStart w:id="61" w:name="_Toc352224161"/>
      <w:r>
        <w:rPr>
          <w:rFonts w:hint="eastAsia" w:ascii="宋体" w:hAnsi="宋体"/>
          <w:b/>
          <w:bCs/>
          <w:color w:val="auto"/>
          <w:sz w:val="72"/>
          <w:szCs w:val="72"/>
        </w:rPr>
        <w:t>二、技术商务部分</w:t>
      </w:r>
      <w:bookmarkEnd w:id="61"/>
    </w:p>
    <w:p>
      <w:pPr>
        <w:spacing w:line="360" w:lineRule="auto"/>
        <w:rPr>
          <w:rFonts w:ascii="宋体" w:hAnsi="宋体"/>
          <w:color w:val="auto"/>
          <w:sz w:val="24"/>
          <w:u w:val="single"/>
        </w:rPr>
      </w:pPr>
    </w:p>
    <w:p>
      <w:pPr>
        <w:pStyle w:val="9"/>
        <w:snapToGrid w:val="0"/>
        <w:spacing w:line="360" w:lineRule="auto"/>
        <w:ind w:firstLine="883" w:firstLineChars="275"/>
        <w:jc w:val="center"/>
        <w:rPr>
          <w:rFonts w:ascii="宋体" w:hAnsi="宋体"/>
          <w:b/>
          <w:bCs/>
          <w:color w:val="auto"/>
          <w:sz w:val="32"/>
        </w:rPr>
      </w:pPr>
      <w:r>
        <w:rPr>
          <w:rFonts w:hint="eastAsia" w:ascii="宋体" w:hAnsi="宋体"/>
          <w:b/>
          <w:bCs/>
          <w:color w:val="auto"/>
          <w:sz w:val="32"/>
        </w:rPr>
        <w:t>目    录</w:t>
      </w:r>
    </w:p>
    <w:p>
      <w:pPr>
        <w:spacing w:line="360" w:lineRule="auto"/>
        <w:rPr>
          <w:rFonts w:ascii="宋体" w:hAnsi="宋体"/>
          <w:color w:val="auto"/>
          <w:sz w:val="24"/>
        </w:rPr>
      </w:pPr>
      <w:r>
        <w:rPr>
          <w:rFonts w:hint="eastAsia" w:ascii="宋体" w:hAnsi="宋体"/>
          <w:color w:val="auto"/>
          <w:sz w:val="24"/>
        </w:rPr>
        <w:t>1. 技术商务评分索引表………………………………………………………（页码）</w:t>
      </w:r>
    </w:p>
    <w:p>
      <w:pPr>
        <w:spacing w:line="360" w:lineRule="auto"/>
        <w:rPr>
          <w:rFonts w:ascii="宋体" w:hAnsi="宋体"/>
          <w:color w:val="auto"/>
          <w:sz w:val="24"/>
        </w:rPr>
      </w:pPr>
      <w:r>
        <w:rPr>
          <w:rFonts w:hint="eastAsia" w:ascii="宋体" w:hAnsi="宋体"/>
          <w:color w:val="auto"/>
          <w:sz w:val="24"/>
        </w:rPr>
        <w:t>2. 技术规格偏离表……………………………………………………………（页码）</w:t>
      </w:r>
    </w:p>
    <w:p>
      <w:pPr>
        <w:spacing w:line="360" w:lineRule="auto"/>
        <w:rPr>
          <w:rFonts w:ascii="宋体" w:hAnsi="宋体"/>
          <w:color w:val="auto"/>
          <w:sz w:val="24"/>
        </w:rPr>
      </w:pPr>
      <w:r>
        <w:rPr>
          <w:rFonts w:hint="eastAsia" w:ascii="宋体" w:hAnsi="宋体"/>
          <w:color w:val="auto"/>
          <w:sz w:val="24"/>
        </w:rPr>
        <w:t>3. 商务偏离表…………………………………………………………………（页码）</w:t>
      </w:r>
    </w:p>
    <w:p>
      <w:pPr>
        <w:spacing w:line="360" w:lineRule="auto"/>
        <w:rPr>
          <w:rFonts w:ascii="宋体" w:hAnsi="宋体"/>
          <w:color w:val="auto"/>
          <w:sz w:val="24"/>
        </w:rPr>
      </w:pPr>
      <w:r>
        <w:rPr>
          <w:rFonts w:hint="eastAsia" w:ascii="宋体" w:hAnsi="宋体"/>
          <w:color w:val="auto"/>
          <w:sz w:val="24"/>
        </w:rPr>
        <w:t>4. 投标人的资格证明文件………………………………………………（页码）</w:t>
      </w:r>
    </w:p>
    <w:p>
      <w:pPr>
        <w:spacing w:line="360" w:lineRule="auto"/>
        <w:ind w:firstLine="480" w:firstLineChars="200"/>
        <w:rPr>
          <w:rFonts w:ascii="宋体" w:hAnsi="宋体"/>
          <w:color w:val="auto"/>
          <w:sz w:val="24"/>
        </w:rPr>
      </w:pPr>
      <w:r>
        <w:rPr>
          <w:rFonts w:hint="eastAsia" w:ascii="宋体" w:hAnsi="宋体"/>
          <w:color w:val="auto"/>
          <w:sz w:val="24"/>
        </w:rPr>
        <w:t>4-1关于资格的声明函……………………………………………………（页码）</w:t>
      </w:r>
    </w:p>
    <w:p>
      <w:pPr>
        <w:spacing w:line="360" w:lineRule="auto"/>
        <w:ind w:firstLine="480" w:firstLineChars="200"/>
        <w:rPr>
          <w:rFonts w:ascii="宋体" w:hAnsi="宋体"/>
          <w:color w:val="auto"/>
          <w:sz w:val="24"/>
        </w:rPr>
      </w:pPr>
      <w:r>
        <w:rPr>
          <w:rFonts w:hint="eastAsia" w:ascii="宋体" w:hAnsi="宋体"/>
          <w:color w:val="auto"/>
          <w:sz w:val="24"/>
        </w:rPr>
        <w:t>4-2投标人的资格声明………………………………………………（页码）</w:t>
      </w:r>
    </w:p>
    <w:p>
      <w:pPr>
        <w:spacing w:line="360" w:lineRule="auto"/>
        <w:ind w:left="479" w:leftChars="228"/>
        <w:rPr>
          <w:rFonts w:ascii="宋体" w:hAnsi="宋体"/>
          <w:color w:val="auto"/>
          <w:sz w:val="24"/>
        </w:rPr>
      </w:pPr>
      <w:r>
        <w:rPr>
          <w:rFonts w:hint="eastAsia" w:ascii="宋体" w:hAnsi="宋体"/>
          <w:color w:val="auto"/>
          <w:sz w:val="24"/>
        </w:rPr>
        <w:t>4-3法人代表授权书………………………………………………………（页码）</w:t>
      </w:r>
      <w:r>
        <w:rPr>
          <w:rFonts w:hint="eastAsia" w:ascii="宋体" w:hAnsi="宋体"/>
          <w:color w:val="auto"/>
          <w:sz w:val="24"/>
        </w:rPr>
        <w:cr/>
      </w:r>
      <w:r>
        <w:rPr>
          <w:rFonts w:hint="eastAsia" w:ascii="宋体" w:hAnsi="宋体"/>
          <w:color w:val="auto"/>
          <w:sz w:val="24"/>
        </w:rPr>
        <w:t>4-4法人营业执照…………………………………………………………（页码）</w:t>
      </w:r>
    </w:p>
    <w:p>
      <w:pPr>
        <w:spacing w:line="360" w:lineRule="auto"/>
        <w:ind w:left="477" w:leftChars="227"/>
        <w:rPr>
          <w:rFonts w:ascii="宋体" w:hAnsi="宋体"/>
          <w:color w:val="auto"/>
          <w:sz w:val="24"/>
        </w:rPr>
      </w:pPr>
      <w:r>
        <w:rPr>
          <w:rFonts w:hint="eastAsia" w:ascii="宋体" w:hAnsi="宋体"/>
          <w:color w:val="auto"/>
          <w:sz w:val="24"/>
        </w:rPr>
        <w:t>4-5行贿犯罪档案查询结果告知函………………………………………（页码）</w:t>
      </w:r>
    </w:p>
    <w:p>
      <w:pPr>
        <w:spacing w:line="360" w:lineRule="auto"/>
        <w:ind w:left="479" w:leftChars="228"/>
        <w:rPr>
          <w:rFonts w:ascii="宋体" w:hAnsi="宋体"/>
          <w:color w:val="auto"/>
          <w:sz w:val="24"/>
        </w:rPr>
      </w:pPr>
      <w:r>
        <w:rPr>
          <w:rFonts w:hint="eastAsia" w:ascii="宋体" w:hAnsi="宋体" w:cs="宋体"/>
          <w:color w:val="auto"/>
          <w:kern w:val="0"/>
          <w:sz w:val="24"/>
        </w:rPr>
        <w:t>4-6投标人</w:t>
      </w:r>
      <w:r>
        <w:rPr>
          <w:rFonts w:ascii="宋体" w:hAnsi="宋体" w:cs="宋体"/>
          <w:color w:val="auto"/>
          <w:kern w:val="0"/>
          <w:sz w:val="24"/>
        </w:rPr>
        <w:t>提供财务状况报告，依法缴纳税收和社会保障资金的相关材料</w:t>
      </w:r>
      <w:r>
        <w:rPr>
          <w:rFonts w:hint="eastAsia" w:ascii="宋体" w:hAnsi="宋体"/>
          <w:color w:val="auto"/>
          <w:sz w:val="24"/>
        </w:rPr>
        <w:t>…………………………………………………………………………（页码）</w:t>
      </w:r>
    </w:p>
    <w:p>
      <w:pPr>
        <w:spacing w:line="360" w:lineRule="auto"/>
        <w:ind w:left="479" w:leftChars="228"/>
        <w:rPr>
          <w:rFonts w:ascii="宋体" w:hAnsi="宋体"/>
          <w:color w:val="auto"/>
          <w:sz w:val="24"/>
        </w:rPr>
      </w:pPr>
      <w:r>
        <w:rPr>
          <w:rFonts w:hint="eastAsia" w:ascii="宋体" w:hAnsi="宋体" w:cs="宋体"/>
          <w:color w:val="auto"/>
          <w:kern w:val="0"/>
          <w:sz w:val="24"/>
        </w:rPr>
        <w:t>4-7投标人</w:t>
      </w:r>
      <w:r>
        <w:rPr>
          <w:rFonts w:ascii="宋体" w:hAnsi="宋体" w:cs="宋体"/>
          <w:color w:val="auto"/>
          <w:kern w:val="0"/>
          <w:sz w:val="24"/>
        </w:rPr>
        <w:t>具备履行合同所必需的设备和专业技术能力的证明材料</w:t>
      </w:r>
      <w:r>
        <w:rPr>
          <w:rFonts w:hint="eastAsia" w:ascii="宋体" w:hAnsi="宋体"/>
          <w:color w:val="auto"/>
          <w:sz w:val="24"/>
        </w:rPr>
        <w:t>…（页码）</w:t>
      </w:r>
    </w:p>
    <w:p>
      <w:pPr>
        <w:spacing w:line="360" w:lineRule="auto"/>
        <w:ind w:left="479" w:leftChars="228"/>
        <w:rPr>
          <w:rFonts w:ascii="宋体" w:hAnsi="宋体"/>
          <w:color w:val="auto"/>
          <w:sz w:val="24"/>
        </w:rPr>
      </w:pPr>
      <w:r>
        <w:rPr>
          <w:rFonts w:hint="eastAsia" w:ascii="宋体" w:hAnsi="宋体" w:cs="宋体"/>
          <w:color w:val="auto"/>
          <w:kern w:val="0"/>
          <w:sz w:val="24"/>
        </w:rPr>
        <w:t>4-8近三年无重大违法记录承诺书</w:t>
      </w:r>
      <w:r>
        <w:rPr>
          <w:rFonts w:hint="eastAsia" w:ascii="宋体" w:hAnsi="宋体"/>
          <w:color w:val="auto"/>
          <w:sz w:val="24"/>
        </w:rPr>
        <w:t>……………………………………（页码）</w:t>
      </w:r>
    </w:p>
    <w:p>
      <w:pPr>
        <w:spacing w:line="360" w:lineRule="auto"/>
        <w:ind w:left="479" w:leftChars="228"/>
        <w:rPr>
          <w:rFonts w:ascii="宋体" w:hAnsi="宋体"/>
          <w:color w:val="auto"/>
          <w:sz w:val="24"/>
        </w:rPr>
      </w:pPr>
      <w:r>
        <w:rPr>
          <w:rFonts w:hint="eastAsia" w:ascii="宋体" w:hAnsi="宋体"/>
          <w:color w:val="auto"/>
          <w:sz w:val="24"/>
        </w:rPr>
        <w:t>4-9招标文件规定的其他资格要求文件………………………………（页码）</w:t>
      </w:r>
    </w:p>
    <w:p>
      <w:pPr>
        <w:spacing w:line="360" w:lineRule="auto"/>
        <w:rPr>
          <w:rFonts w:ascii="宋体" w:hAnsi="宋体"/>
          <w:color w:val="auto"/>
          <w:sz w:val="24"/>
        </w:rPr>
      </w:pPr>
      <w:r>
        <w:rPr>
          <w:rFonts w:hint="eastAsia" w:ascii="宋体" w:hAnsi="宋体"/>
          <w:color w:val="auto"/>
          <w:sz w:val="24"/>
        </w:rPr>
        <w:t>5. 质保期和售后服务承诺书…………………………………………………（页码）</w:t>
      </w:r>
    </w:p>
    <w:p>
      <w:pPr>
        <w:spacing w:line="360" w:lineRule="auto"/>
        <w:rPr>
          <w:rFonts w:ascii="宋体" w:hAnsi="宋体"/>
          <w:color w:val="auto"/>
          <w:sz w:val="24"/>
        </w:rPr>
      </w:pPr>
      <w:r>
        <w:rPr>
          <w:rFonts w:hint="eastAsia" w:ascii="宋体" w:hAnsi="宋体"/>
          <w:color w:val="auto"/>
          <w:sz w:val="24"/>
        </w:rPr>
        <w:t>6. 投标人</w:t>
      </w:r>
      <w:r>
        <w:rPr>
          <w:rFonts w:hint="eastAsia" w:ascii="宋体" w:hAnsi="宋体"/>
          <w:bCs/>
          <w:color w:val="auto"/>
          <w:sz w:val="24"/>
        </w:rPr>
        <w:t>提</w:t>
      </w:r>
      <w:r>
        <w:rPr>
          <w:rFonts w:hint="eastAsia" w:ascii="宋体" w:hAnsi="宋体"/>
          <w:color w:val="auto"/>
          <w:sz w:val="24"/>
        </w:rPr>
        <w:t>交的其它资料………………………………………………（页码）</w:t>
      </w:r>
    </w:p>
    <w:p>
      <w:pPr>
        <w:spacing w:line="360" w:lineRule="auto"/>
        <w:rPr>
          <w:rFonts w:ascii="宋体" w:hAnsi="宋体"/>
          <w:color w:val="auto"/>
          <w:sz w:val="24"/>
        </w:rPr>
      </w:pPr>
      <w:r>
        <w:rPr>
          <w:rFonts w:hint="eastAsia" w:ascii="宋体" w:hAnsi="宋体"/>
          <w:color w:val="auto"/>
          <w:sz w:val="24"/>
        </w:rPr>
        <w:t>7. 招标服务费承诺书…………………………………………………………（页码）</w:t>
      </w:r>
    </w:p>
    <w:p>
      <w:pPr>
        <w:spacing w:line="360" w:lineRule="auto"/>
        <w:rPr>
          <w:rFonts w:ascii="宋体" w:hAnsi="宋体"/>
          <w:color w:val="auto"/>
          <w:sz w:val="24"/>
        </w:rPr>
      </w:pPr>
      <w:r>
        <w:rPr>
          <w:rFonts w:hint="eastAsia" w:ascii="宋体" w:hAnsi="宋体"/>
          <w:color w:val="auto"/>
          <w:sz w:val="24"/>
        </w:rPr>
        <w:t>8. 保证金提交申明函…………………………………………………………（页码）</w:t>
      </w:r>
    </w:p>
    <w:p>
      <w:pPr>
        <w:spacing w:line="360" w:lineRule="auto"/>
        <w:rPr>
          <w:rFonts w:ascii="宋体" w:hAnsi="宋体"/>
          <w:color w:val="auto"/>
          <w:sz w:val="24"/>
        </w:rPr>
      </w:pPr>
      <w:r>
        <w:rPr>
          <w:rFonts w:hint="eastAsia" w:ascii="宋体" w:hAnsi="宋体"/>
          <w:color w:val="auto"/>
          <w:sz w:val="24"/>
        </w:rPr>
        <w:t>9．退回保证金授权函…………………………………………………………（页码）</w:t>
      </w:r>
    </w:p>
    <w:p>
      <w:pPr>
        <w:spacing w:line="360" w:lineRule="auto"/>
        <w:rPr>
          <w:rFonts w:ascii="宋体" w:hAnsi="宋体"/>
          <w:color w:val="auto"/>
          <w:sz w:val="24"/>
        </w:rPr>
      </w:pPr>
      <w:r>
        <w:rPr>
          <w:rFonts w:hint="eastAsia" w:ascii="宋体" w:hAnsi="宋体"/>
          <w:color w:val="auto"/>
          <w:sz w:val="24"/>
        </w:rPr>
        <w:t>10．投标人廉政保证书……………………………………………………（页码）</w:t>
      </w:r>
    </w:p>
    <w:p>
      <w:pPr>
        <w:pStyle w:val="20"/>
        <w:snapToGrid w:val="0"/>
        <w:spacing w:line="360" w:lineRule="auto"/>
        <w:jc w:val="left"/>
        <w:rPr>
          <w:rFonts w:hAnsi="宋体"/>
          <w:color w:val="auto"/>
        </w:rPr>
      </w:pPr>
    </w:p>
    <w:p>
      <w:pPr>
        <w:pStyle w:val="20"/>
        <w:snapToGrid w:val="0"/>
        <w:spacing w:line="360" w:lineRule="auto"/>
        <w:jc w:val="left"/>
        <w:rPr>
          <w:rFonts w:hAnsi="宋体"/>
          <w:color w:val="auto"/>
        </w:rPr>
      </w:pPr>
    </w:p>
    <w:p>
      <w:pPr>
        <w:pStyle w:val="20"/>
        <w:snapToGrid w:val="0"/>
        <w:spacing w:line="360" w:lineRule="auto"/>
        <w:jc w:val="left"/>
        <w:rPr>
          <w:rFonts w:hAnsi="宋体"/>
          <w:color w:val="auto"/>
        </w:rPr>
      </w:pPr>
    </w:p>
    <w:p>
      <w:pPr>
        <w:pStyle w:val="20"/>
        <w:snapToGrid w:val="0"/>
        <w:spacing w:line="360" w:lineRule="auto"/>
        <w:jc w:val="left"/>
        <w:rPr>
          <w:rFonts w:hAnsi="宋体"/>
          <w:color w:val="auto"/>
        </w:rPr>
      </w:pPr>
    </w:p>
    <w:p>
      <w:pPr>
        <w:pStyle w:val="20"/>
        <w:snapToGrid w:val="0"/>
        <w:spacing w:line="360" w:lineRule="auto"/>
        <w:jc w:val="left"/>
        <w:rPr>
          <w:rFonts w:hAnsi="宋体"/>
          <w:color w:val="auto"/>
        </w:rPr>
      </w:pPr>
    </w:p>
    <w:p>
      <w:pPr>
        <w:pStyle w:val="20"/>
        <w:snapToGrid w:val="0"/>
        <w:spacing w:line="360" w:lineRule="auto"/>
        <w:jc w:val="left"/>
        <w:rPr>
          <w:rFonts w:hAnsi="宋体"/>
          <w:color w:val="auto"/>
        </w:rPr>
      </w:pPr>
    </w:p>
    <w:p>
      <w:pPr>
        <w:spacing w:line="500" w:lineRule="exact"/>
        <w:jc w:val="center"/>
        <w:rPr>
          <w:rFonts w:ascii="宋体" w:hAnsi="宋体"/>
          <w:b/>
          <w:color w:val="auto"/>
          <w:sz w:val="36"/>
        </w:rPr>
      </w:pPr>
      <w:r>
        <w:rPr>
          <w:rFonts w:hint="eastAsia" w:ascii="宋体" w:hAnsi="宋体"/>
          <w:b/>
          <w:color w:val="auto"/>
          <w:sz w:val="36"/>
        </w:rPr>
        <w:t>1、技术商务评分索引表</w:t>
      </w: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投标人名称：   (全称并加盖公章)                    招标编号：</w:t>
      </w:r>
    </w:p>
    <w:tbl>
      <w:tblPr>
        <w:tblStyle w:val="37"/>
        <w:tblpPr w:leftFromText="180" w:rightFromText="180" w:vertAnchor="page" w:horzAnchor="margin" w:tblpY="2851"/>
        <w:tblW w:w="8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450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368" w:type="dxa"/>
            <w:noWrap/>
            <w:vAlign w:val="center"/>
          </w:tcPr>
          <w:p>
            <w:pPr>
              <w:spacing w:line="360" w:lineRule="auto"/>
              <w:jc w:val="center"/>
              <w:rPr>
                <w:rFonts w:ascii="宋体" w:hAnsi="宋体"/>
                <w:b/>
                <w:color w:val="auto"/>
                <w:sz w:val="24"/>
              </w:rPr>
            </w:pPr>
            <w:r>
              <w:rPr>
                <w:rFonts w:hint="eastAsia" w:ascii="宋体" w:hAnsi="宋体"/>
                <w:b/>
                <w:color w:val="auto"/>
                <w:sz w:val="24"/>
              </w:rPr>
              <w:t>项目</w:t>
            </w:r>
          </w:p>
        </w:tc>
        <w:tc>
          <w:tcPr>
            <w:tcW w:w="4500" w:type="dxa"/>
            <w:noWrap/>
            <w:vAlign w:val="center"/>
          </w:tcPr>
          <w:p>
            <w:pPr>
              <w:spacing w:line="360" w:lineRule="auto"/>
              <w:jc w:val="center"/>
              <w:rPr>
                <w:rFonts w:ascii="宋体" w:hAnsi="宋体"/>
                <w:b/>
                <w:color w:val="auto"/>
                <w:sz w:val="24"/>
              </w:rPr>
            </w:pPr>
            <w:r>
              <w:rPr>
                <w:rFonts w:hint="eastAsia" w:ascii="宋体" w:hAnsi="宋体"/>
                <w:b/>
                <w:color w:val="auto"/>
                <w:sz w:val="24"/>
              </w:rPr>
              <w:t>评分标准</w:t>
            </w:r>
          </w:p>
        </w:tc>
        <w:tc>
          <w:tcPr>
            <w:tcW w:w="2340" w:type="dxa"/>
            <w:noWrap/>
            <w:vAlign w:val="center"/>
          </w:tcPr>
          <w:p>
            <w:pPr>
              <w:spacing w:line="360" w:lineRule="auto"/>
              <w:jc w:val="center"/>
              <w:rPr>
                <w:rFonts w:ascii="宋体" w:hAnsi="宋体"/>
                <w:b/>
                <w:color w:val="auto"/>
                <w:sz w:val="24"/>
              </w:rPr>
            </w:pPr>
            <w:r>
              <w:rPr>
                <w:rFonts w:hint="eastAsia" w:ascii="宋体" w:hAnsi="宋体"/>
                <w:b/>
                <w:color w:val="auto"/>
                <w:sz w:val="24"/>
              </w:rPr>
              <w:t>投标文件佐证材料相应页码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68" w:type="dxa"/>
            <w:vMerge w:val="restart"/>
            <w:noWrap/>
            <w:vAlign w:val="center"/>
          </w:tcPr>
          <w:p>
            <w:pPr>
              <w:spacing w:line="360" w:lineRule="auto"/>
              <w:jc w:val="center"/>
              <w:rPr>
                <w:rFonts w:ascii="宋体" w:hAnsi="宋体"/>
                <w:color w:val="auto"/>
                <w:sz w:val="24"/>
              </w:rPr>
            </w:pPr>
            <w:r>
              <w:rPr>
                <w:rFonts w:hint="eastAsia" w:ascii="宋体" w:hAnsi="宋体"/>
                <w:color w:val="auto"/>
                <w:sz w:val="24"/>
              </w:rPr>
              <w:t>技术部分评分</w:t>
            </w:r>
          </w:p>
        </w:tc>
        <w:tc>
          <w:tcPr>
            <w:tcW w:w="4500" w:type="dxa"/>
            <w:noWrap/>
            <w:vAlign w:val="center"/>
          </w:tcPr>
          <w:p>
            <w:pPr>
              <w:spacing w:line="360" w:lineRule="auto"/>
              <w:ind w:firstLine="72" w:firstLineChars="30"/>
              <w:jc w:val="center"/>
              <w:rPr>
                <w:rFonts w:ascii="宋体" w:hAnsi="宋体"/>
                <w:color w:val="auto"/>
                <w:sz w:val="24"/>
              </w:rPr>
            </w:pPr>
          </w:p>
        </w:tc>
        <w:tc>
          <w:tcPr>
            <w:tcW w:w="2340" w:type="dxa"/>
            <w:noWrap/>
            <w:vAlign w:val="center"/>
          </w:tcPr>
          <w:p>
            <w:pPr>
              <w:spacing w:line="360" w:lineRule="auto"/>
              <w:ind w:firstLine="480" w:firstLineChars="20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68" w:type="dxa"/>
            <w:vMerge w:val="continue"/>
            <w:noWrap/>
            <w:vAlign w:val="center"/>
          </w:tcPr>
          <w:p>
            <w:pPr>
              <w:spacing w:line="360" w:lineRule="auto"/>
              <w:jc w:val="center"/>
              <w:rPr>
                <w:rFonts w:ascii="宋体" w:hAnsi="宋体"/>
                <w:color w:val="auto"/>
                <w:sz w:val="24"/>
              </w:rPr>
            </w:pPr>
          </w:p>
        </w:tc>
        <w:tc>
          <w:tcPr>
            <w:tcW w:w="4500" w:type="dxa"/>
            <w:noWrap/>
            <w:vAlign w:val="center"/>
          </w:tcPr>
          <w:p>
            <w:pPr>
              <w:spacing w:line="360" w:lineRule="auto"/>
              <w:ind w:firstLine="72" w:firstLineChars="30"/>
              <w:jc w:val="center"/>
              <w:rPr>
                <w:rFonts w:ascii="宋体" w:hAnsi="宋体"/>
                <w:color w:val="auto"/>
                <w:sz w:val="24"/>
              </w:rPr>
            </w:pPr>
          </w:p>
        </w:tc>
        <w:tc>
          <w:tcPr>
            <w:tcW w:w="2340" w:type="dxa"/>
            <w:noWrap/>
            <w:vAlign w:val="center"/>
          </w:tcPr>
          <w:p>
            <w:pPr>
              <w:spacing w:line="360" w:lineRule="auto"/>
              <w:ind w:firstLine="480" w:firstLineChars="20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68" w:type="dxa"/>
            <w:vMerge w:val="continue"/>
            <w:noWrap/>
            <w:vAlign w:val="center"/>
          </w:tcPr>
          <w:p>
            <w:pPr>
              <w:spacing w:line="360" w:lineRule="auto"/>
              <w:jc w:val="center"/>
              <w:rPr>
                <w:rFonts w:ascii="宋体" w:hAnsi="宋体"/>
                <w:color w:val="auto"/>
                <w:sz w:val="24"/>
              </w:rPr>
            </w:pPr>
          </w:p>
        </w:tc>
        <w:tc>
          <w:tcPr>
            <w:tcW w:w="4500" w:type="dxa"/>
            <w:noWrap/>
            <w:vAlign w:val="center"/>
          </w:tcPr>
          <w:p>
            <w:pPr>
              <w:spacing w:line="360" w:lineRule="auto"/>
              <w:ind w:firstLine="72" w:firstLineChars="30"/>
              <w:jc w:val="center"/>
              <w:rPr>
                <w:rFonts w:ascii="宋体" w:hAnsi="宋体"/>
                <w:color w:val="auto"/>
                <w:sz w:val="24"/>
              </w:rPr>
            </w:pPr>
          </w:p>
        </w:tc>
        <w:tc>
          <w:tcPr>
            <w:tcW w:w="2340" w:type="dxa"/>
            <w:noWrap/>
            <w:vAlign w:val="center"/>
          </w:tcPr>
          <w:p>
            <w:pPr>
              <w:spacing w:line="360" w:lineRule="auto"/>
              <w:ind w:firstLine="480" w:firstLineChars="20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68" w:type="dxa"/>
            <w:vMerge w:val="restart"/>
            <w:noWrap/>
            <w:vAlign w:val="center"/>
          </w:tcPr>
          <w:p>
            <w:pPr>
              <w:spacing w:line="360" w:lineRule="auto"/>
              <w:jc w:val="center"/>
              <w:rPr>
                <w:rFonts w:ascii="宋体" w:hAnsi="宋体"/>
                <w:color w:val="auto"/>
                <w:sz w:val="24"/>
              </w:rPr>
            </w:pPr>
            <w:r>
              <w:rPr>
                <w:rFonts w:hint="eastAsia" w:ascii="宋体" w:hAnsi="宋体"/>
                <w:color w:val="auto"/>
                <w:sz w:val="24"/>
              </w:rPr>
              <w:t>商务部分评分</w:t>
            </w:r>
          </w:p>
        </w:tc>
        <w:tc>
          <w:tcPr>
            <w:tcW w:w="4500" w:type="dxa"/>
            <w:noWrap/>
            <w:vAlign w:val="center"/>
          </w:tcPr>
          <w:p>
            <w:pPr>
              <w:spacing w:line="360" w:lineRule="auto"/>
              <w:ind w:firstLine="72" w:firstLineChars="30"/>
              <w:jc w:val="center"/>
              <w:rPr>
                <w:rFonts w:ascii="宋体" w:hAnsi="宋体"/>
                <w:color w:val="auto"/>
                <w:sz w:val="24"/>
              </w:rPr>
            </w:pPr>
          </w:p>
        </w:tc>
        <w:tc>
          <w:tcPr>
            <w:tcW w:w="2340" w:type="dxa"/>
            <w:noWrap/>
            <w:vAlign w:val="center"/>
          </w:tcPr>
          <w:p>
            <w:pPr>
              <w:spacing w:line="360" w:lineRule="auto"/>
              <w:ind w:firstLine="480" w:firstLineChars="20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68" w:type="dxa"/>
            <w:vMerge w:val="continue"/>
            <w:noWrap/>
            <w:vAlign w:val="center"/>
          </w:tcPr>
          <w:p>
            <w:pPr>
              <w:spacing w:line="360" w:lineRule="auto"/>
              <w:jc w:val="center"/>
              <w:rPr>
                <w:rFonts w:ascii="宋体" w:hAnsi="宋体"/>
                <w:color w:val="auto"/>
                <w:sz w:val="24"/>
              </w:rPr>
            </w:pPr>
          </w:p>
        </w:tc>
        <w:tc>
          <w:tcPr>
            <w:tcW w:w="4500" w:type="dxa"/>
            <w:noWrap/>
            <w:vAlign w:val="center"/>
          </w:tcPr>
          <w:p>
            <w:pPr>
              <w:spacing w:line="360" w:lineRule="auto"/>
              <w:ind w:firstLine="72" w:firstLineChars="30"/>
              <w:jc w:val="center"/>
              <w:rPr>
                <w:rFonts w:ascii="宋体" w:hAnsi="宋体"/>
                <w:color w:val="auto"/>
                <w:sz w:val="24"/>
              </w:rPr>
            </w:pPr>
          </w:p>
        </w:tc>
        <w:tc>
          <w:tcPr>
            <w:tcW w:w="2340" w:type="dxa"/>
            <w:noWrap/>
            <w:vAlign w:val="center"/>
          </w:tcPr>
          <w:p>
            <w:pPr>
              <w:spacing w:line="360" w:lineRule="auto"/>
              <w:ind w:firstLine="480" w:firstLineChars="20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68" w:type="dxa"/>
            <w:vMerge w:val="continue"/>
            <w:noWrap/>
            <w:vAlign w:val="center"/>
          </w:tcPr>
          <w:p>
            <w:pPr>
              <w:spacing w:line="360" w:lineRule="auto"/>
              <w:jc w:val="center"/>
              <w:rPr>
                <w:rFonts w:ascii="宋体" w:hAnsi="宋体"/>
                <w:color w:val="auto"/>
                <w:sz w:val="24"/>
              </w:rPr>
            </w:pPr>
          </w:p>
        </w:tc>
        <w:tc>
          <w:tcPr>
            <w:tcW w:w="4500" w:type="dxa"/>
            <w:noWrap/>
            <w:vAlign w:val="center"/>
          </w:tcPr>
          <w:p>
            <w:pPr>
              <w:spacing w:line="360" w:lineRule="auto"/>
              <w:ind w:firstLine="72" w:firstLineChars="30"/>
              <w:jc w:val="center"/>
              <w:rPr>
                <w:rFonts w:ascii="宋体" w:hAnsi="宋体"/>
                <w:color w:val="auto"/>
                <w:sz w:val="24"/>
              </w:rPr>
            </w:pPr>
          </w:p>
        </w:tc>
        <w:tc>
          <w:tcPr>
            <w:tcW w:w="2340" w:type="dxa"/>
            <w:noWrap/>
            <w:vAlign w:val="center"/>
          </w:tcPr>
          <w:p>
            <w:pPr>
              <w:spacing w:line="360" w:lineRule="auto"/>
              <w:ind w:firstLine="480" w:firstLineChars="200"/>
              <w:jc w:val="center"/>
              <w:rPr>
                <w:rFonts w:ascii="宋体" w:hAnsi="宋体"/>
                <w:color w:val="auto"/>
                <w:sz w:val="24"/>
              </w:rPr>
            </w:pPr>
          </w:p>
        </w:tc>
      </w:tr>
    </w:tbl>
    <w:p>
      <w:pPr>
        <w:spacing w:line="360" w:lineRule="auto"/>
        <w:rPr>
          <w:rFonts w:ascii="宋体" w:hAnsi="宋体"/>
          <w:b/>
          <w:color w:val="auto"/>
          <w:sz w:val="24"/>
        </w:rPr>
      </w:pPr>
    </w:p>
    <w:p>
      <w:pPr>
        <w:spacing w:line="360" w:lineRule="auto"/>
        <w:rPr>
          <w:rFonts w:ascii="宋体" w:hAnsi="宋体"/>
          <w:b/>
          <w:color w:val="auto"/>
          <w:sz w:val="24"/>
        </w:rPr>
      </w:pPr>
    </w:p>
    <w:p>
      <w:pPr>
        <w:spacing w:line="360" w:lineRule="auto"/>
        <w:rPr>
          <w:rFonts w:ascii="宋体" w:hAnsi="宋体"/>
          <w:b/>
          <w:color w:val="auto"/>
          <w:sz w:val="24"/>
        </w:rPr>
      </w:pPr>
    </w:p>
    <w:p>
      <w:pPr>
        <w:spacing w:line="360" w:lineRule="auto"/>
        <w:rPr>
          <w:rFonts w:ascii="宋体" w:hAnsi="宋体"/>
          <w:b/>
          <w:color w:val="auto"/>
          <w:sz w:val="24"/>
        </w:rPr>
      </w:pPr>
    </w:p>
    <w:p>
      <w:pPr>
        <w:spacing w:line="360" w:lineRule="auto"/>
        <w:rPr>
          <w:rFonts w:ascii="宋体" w:hAnsi="宋体"/>
          <w:b/>
          <w:color w:val="auto"/>
          <w:sz w:val="24"/>
        </w:rPr>
      </w:pPr>
    </w:p>
    <w:p>
      <w:pPr>
        <w:spacing w:line="360" w:lineRule="auto"/>
        <w:rPr>
          <w:rFonts w:ascii="宋体" w:hAnsi="宋体"/>
          <w:b/>
          <w:color w:val="auto"/>
          <w:sz w:val="24"/>
        </w:rPr>
      </w:pPr>
    </w:p>
    <w:p>
      <w:pPr>
        <w:spacing w:line="360" w:lineRule="auto"/>
        <w:rPr>
          <w:rFonts w:ascii="宋体" w:hAnsi="宋体"/>
          <w:b/>
          <w:color w:val="auto"/>
          <w:sz w:val="24"/>
        </w:rPr>
      </w:pPr>
    </w:p>
    <w:p>
      <w:pPr>
        <w:spacing w:line="360" w:lineRule="auto"/>
        <w:rPr>
          <w:rFonts w:ascii="宋体" w:hAnsi="宋体"/>
          <w:b/>
          <w:color w:val="auto"/>
          <w:sz w:val="24"/>
        </w:rPr>
      </w:pPr>
    </w:p>
    <w:p>
      <w:pPr>
        <w:spacing w:line="360" w:lineRule="auto"/>
        <w:rPr>
          <w:rFonts w:ascii="宋体" w:hAnsi="宋体"/>
          <w:b/>
          <w:color w:val="auto"/>
          <w:sz w:val="24"/>
        </w:rPr>
      </w:pPr>
    </w:p>
    <w:p>
      <w:pPr>
        <w:spacing w:line="360" w:lineRule="auto"/>
        <w:rPr>
          <w:rFonts w:ascii="宋体" w:hAnsi="宋体"/>
          <w:b/>
          <w:color w:val="auto"/>
          <w:sz w:val="24"/>
        </w:rPr>
      </w:pPr>
    </w:p>
    <w:p>
      <w:pPr>
        <w:spacing w:line="360" w:lineRule="auto"/>
        <w:rPr>
          <w:rFonts w:ascii="宋体" w:hAnsi="宋体"/>
          <w:b/>
          <w:color w:val="auto"/>
          <w:sz w:val="24"/>
        </w:rPr>
      </w:pPr>
    </w:p>
    <w:p>
      <w:pPr>
        <w:spacing w:line="360" w:lineRule="auto"/>
        <w:rPr>
          <w:rFonts w:ascii="宋体" w:hAnsi="宋体"/>
          <w:b/>
          <w:color w:val="auto"/>
          <w:sz w:val="24"/>
        </w:rPr>
      </w:pPr>
    </w:p>
    <w:p>
      <w:pPr>
        <w:spacing w:line="360" w:lineRule="auto"/>
        <w:rPr>
          <w:rFonts w:ascii="宋体" w:hAnsi="宋体"/>
          <w:b/>
          <w:color w:val="auto"/>
          <w:sz w:val="24"/>
        </w:rPr>
      </w:pPr>
      <w:r>
        <w:rPr>
          <w:rFonts w:hint="eastAsia" w:ascii="宋体" w:hAnsi="宋体"/>
          <w:b/>
          <w:color w:val="auto"/>
          <w:sz w:val="24"/>
        </w:rPr>
        <w:t>注：投标文件佐证材料附后。</w:t>
      </w:r>
    </w:p>
    <w:p>
      <w:pPr>
        <w:spacing w:line="360" w:lineRule="auto"/>
        <w:rPr>
          <w:rFonts w:ascii="宋体" w:hAnsi="宋体"/>
          <w:b/>
          <w:color w:val="auto"/>
          <w:sz w:val="24"/>
        </w:rPr>
      </w:pPr>
    </w:p>
    <w:p>
      <w:pPr>
        <w:spacing w:line="360" w:lineRule="auto"/>
        <w:rPr>
          <w:rFonts w:ascii="宋体" w:hAnsi="宋体"/>
          <w:color w:val="auto"/>
        </w:rPr>
      </w:pPr>
    </w:p>
    <w:p>
      <w:pPr>
        <w:spacing w:line="360" w:lineRule="auto"/>
        <w:rPr>
          <w:rFonts w:ascii="宋体" w:hAnsi="宋体"/>
          <w:color w:val="auto"/>
          <w:sz w:val="28"/>
        </w:rPr>
        <w:sectPr>
          <w:pgSz w:w="11907" w:h="16840"/>
          <w:pgMar w:top="1134" w:right="1474" w:bottom="1304" w:left="1474" w:header="454" w:footer="624" w:gutter="0"/>
          <w:cols w:space="720" w:num="1"/>
          <w:docGrid w:linePitch="323" w:charSpace="-2"/>
        </w:sectPr>
      </w:pPr>
      <w:r>
        <w:rPr>
          <w:rFonts w:hint="eastAsia" w:ascii="宋体" w:hAnsi="宋体"/>
          <w:color w:val="auto"/>
          <w:sz w:val="24"/>
        </w:rPr>
        <w:t>投标人代表签字：</w:t>
      </w:r>
    </w:p>
    <w:p>
      <w:pPr>
        <w:pStyle w:val="84"/>
        <w:spacing w:line="360" w:lineRule="auto"/>
        <w:jc w:val="center"/>
        <w:outlineLvl w:val="9"/>
        <w:rPr>
          <w:rFonts w:hAnsi="宋体"/>
          <w:color w:val="auto"/>
        </w:rPr>
      </w:pPr>
      <w:r>
        <w:rPr>
          <w:rFonts w:hint="eastAsia" w:hAnsi="宋体"/>
          <w:b/>
          <w:color w:val="auto"/>
          <w:sz w:val="36"/>
        </w:rPr>
        <w:t>2、技术（服务）偏离表</w:t>
      </w:r>
      <w:r>
        <w:rPr>
          <w:rFonts w:hint="eastAsia" w:hAnsi="宋体"/>
          <w:b/>
          <w:color w:val="auto"/>
          <w:sz w:val="36"/>
        </w:rPr>
        <w:cr/>
      </w:r>
    </w:p>
    <w:p>
      <w:pPr>
        <w:spacing w:line="360" w:lineRule="auto"/>
        <w:ind w:firstLine="360" w:firstLineChars="150"/>
        <w:rPr>
          <w:rFonts w:ascii="宋体" w:hAnsi="宋体"/>
          <w:color w:val="auto"/>
          <w:sz w:val="24"/>
        </w:rPr>
      </w:pPr>
      <w:r>
        <w:rPr>
          <w:rFonts w:hint="eastAsia" w:ascii="宋体" w:hAnsi="宋体"/>
          <w:color w:val="auto"/>
          <w:sz w:val="24"/>
        </w:rPr>
        <w:t>投标人名称：（全称并加盖公章）                 招标编号∶</w:t>
      </w:r>
      <w:r>
        <w:rPr>
          <w:rFonts w:ascii="宋体" w:hAnsi="宋体"/>
          <w:color w:val="auto"/>
          <w:sz w:val="24"/>
        </w:rPr>
        <w:tab/>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459"/>
        <w:gridCol w:w="1721"/>
        <w:gridCol w:w="1459"/>
        <w:gridCol w:w="1459"/>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1174" w:type="dxa"/>
            <w:noWrap/>
            <w:vAlign w:val="center"/>
          </w:tcPr>
          <w:p>
            <w:pPr>
              <w:spacing w:line="360" w:lineRule="auto"/>
              <w:jc w:val="center"/>
              <w:rPr>
                <w:rFonts w:ascii="宋体" w:hAnsi="宋体"/>
                <w:color w:val="auto"/>
                <w:sz w:val="24"/>
              </w:rPr>
            </w:pPr>
            <w:r>
              <w:rPr>
                <w:rFonts w:hint="eastAsia" w:ascii="宋体" w:hAnsi="宋体"/>
                <w:color w:val="auto"/>
                <w:sz w:val="24"/>
              </w:rPr>
              <w:t>合同包/品目号</w:t>
            </w:r>
          </w:p>
        </w:tc>
        <w:tc>
          <w:tcPr>
            <w:tcW w:w="1459" w:type="dxa"/>
            <w:noWrap/>
            <w:vAlign w:val="center"/>
          </w:tcPr>
          <w:p>
            <w:pPr>
              <w:spacing w:line="360" w:lineRule="auto"/>
              <w:jc w:val="center"/>
              <w:rPr>
                <w:rFonts w:ascii="宋体" w:hAnsi="宋体"/>
                <w:color w:val="auto"/>
                <w:sz w:val="24"/>
              </w:rPr>
            </w:pPr>
            <w:r>
              <w:rPr>
                <w:rFonts w:hint="eastAsia" w:ascii="宋体" w:hAnsi="宋体"/>
                <w:color w:val="auto"/>
                <w:sz w:val="24"/>
              </w:rPr>
              <w:t>货物名称</w:t>
            </w:r>
          </w:p>
        </w:tc>
        <w:tc>
          <w:tcPr>
            <w:tcW w:w="1721" w:type="dxa"/>
            <w:noWrap/>
            <w:vAlign w:val="center"/>
          </w:tcPr>
          <w:p>
            <w:pPr>
              <w:spacing w:line="360" w:lineRule="auto"/>
              <w:jc w:val="center"/>
              <w:rPr>
                <w:rFonts w:ascii="宋体" w:hAnsi="宋体"/>
                <w:color w:val="auto"/>
                <w:sz w:val="24"/>
              </w:rPr>
            </w:pPr>
            <w:r>
              <w:rPr>
                <w:rFonts w:hint="eastAsia" w:ascii="宋体" w:hAnsi="宋体"/>
                <w:color w:val="auto"/>
                <w:sz w:val="24"/>
              </w:rPr>
              <w:t>招标文件规定的技术要求</w:t>
            </w:r>
          </w:p>
        </w:tc>
        <w:tc>
          <w:tcPr>
            <w:tcW w:w="1459" w:type="dxa"/>
            <w:noWrap/>
            <w:vAlign w:val="center"/>
          </w:tcPr>
          <w:p>
            <w:pPr>
              <w:spacing w:line="360" w:lineRule="auto"/>
              <w:jc w:val="center"/>
              <w:rPr>
                <w:rFonts w:ascii="宋体" w:hAnsi="宋体"/>
                <w:color w:val="auto"/>
                <w:sz w:val="24"/>
              </w:rPr>
            </w:pPr>
            <w:r>
              <w:rPr>
                <w:rFonts w:hint="eastAsia" w:ascii="宋体" w:hAnsi="宋体"/>
                <w:color w:val="auto"/>
                <w:sz w:val="24"/>
              </w:rPr>
              <w:t>投标响应的技术要求</w:t>
            </w:r>
          </w:p>
        </w:tc>
        <w:tc>
          <w:tcPr>
            <w:tcW w:w="1459" w:type="dxa"/>
            <w:noWrap/>
          </w:tcPr>
          <w:p>
            <w:pPr>
              <w:spacing w:line="360" w:lineRule="auto"/>
              <w:jc w:val="center"/>
              <w:rPr>
                <w:rFonts w:ascii="宋体" w:hAnsi="宋体"/>
                <w:color w:val="auto"/>
                <w:sz w:val="24"/>
              </w:rPr>
            </w:pPr>
            <w:r>
              <w:rPr>
                <w:rFonts w:hint="eastAsia" w:ascii="宋体" w:hAnsi="宋体"/>
                <w:color w:val="auto"/>
                <w:sz w:val="24"/>
              </w:rPr>
              <w:t>偏离详细说明</w:t>
            </w:r>
          </w:p>
        </w:tc>
        <w:tc>
          <w:tcPr>
            <w:tcW w:w="1459" w:type="dxa"/>
            <w:noWrap/>
            <w:vAlign w:val="center"/>
          </w:tcPr>
          <w:p>
            <w:pPr>
              <w:spacing w:line="360" w:lineRule="auto"/>
              <w:jc w:val="center"/>
              <w:rPr>
                <w:rFonts w:ascii="宋体" w:hAnsi="宋体"/>
                <w:color w:val="auto"/>
                <w:sz w:val="24"/>
              </w:rPr>
            </w:pPr>
            <w:r>
              <w:rPr>
                <w:rFonts w:hint="eastAsia" w:ascii="宋体" w:hAnsi="宋体"/>
                <w:color w:val="auto"/>
                <w:sz w:val="24"/>
              </w:rPr>
              <w:t>投标文件相应页码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174" w:type="dxa"/>
            <w:noWrap/>
          </w:tcPr>
          <w:p>
            <w:pPr>
              <w:spacing w:line="360" w:lineRule="auto"/>
              <w:rPr>
                <w:rFonts w:ascii="宋体" w:hAnsi="宋体"/>
                <w:color w:val="auto"/>
                <w:sz w:val="24"/>
              </w:rPr>
            </w:pPr>
          </w:p>
        </w:tc>
        <w:tc>
          <w:tcPr>
            <w:tcW w:w="1459" w:type="dxa"/>
            <w:noWrap/>
          </w:tcPr>
          <w:p>
            <w:pPr>
              <w:spacing w:line="360" w:lineRule="auto"/>
              <w:rPr>
                <w:rFonts w:ascii="宋体" w:hAnsi="宋体"/>
                <w:color w:val="auto"/>
                <w:sz w:val="24"/>
              </w:rPr>
            </w:pPr>
          </w:p>
        </w:tc>
        <w:tc>
          <w:tcPr>
            <w:tcW w:w="1721" w:type="dxa"/>
            <w:noWrap/>
          </w:tcPr>
          <w:p>
            <w:pPr>
              <w:spacing w:line="360" w:lineRule="auto"/>
              <w:rPr>
                <w:rFonts w:ascii="宋体" w:hAnsi="宋体"/>
                <w:color w:val="auto"/>
                <w:sz w:val="24"/>
              </w:rPr>
            </w:pPr>
          </w:p>
        </w:tc>
        <w:tc>
          <w:tcPr>
            <w:tcW w:w="1459" w:type="dxa"/>
            <w:noWrap/>
          </w:tcPr>
          <w:p>
            <w:pPr>
              <w:spacing w:line="360" w:lineRule="auto"/>
              <w:rPr>
                <w:rFonts w:ascii="宋体" w:hAnsi="宋体"/>
                <w:color w:val="auto"/>
                <w:sz w:val="24"/>
              </w:rPr>
            </w:pPr>
          </w:p>
        </w:tc>
        <w:tc>
          <w:tcPr>
            <w:tcW w:w="1459" w:type="dxa"/>
            <w:noWrap/>
          </w:tcPr>
          <w:p>
            <w:pPr>
              <w:spacing w:line="360" w:lineRule="auto"/>
              <w:rPr>
                <w:rFonts w:ascii="宋体" w:hAnsi="宋体"/>
                <w:color w:val="auto"/>
                <w:sz w:val="24"/>
              </w:rPr>
            </w:pPr>
          </w:p>
        </w:tc>
        <w:tc>
          <w:tcPr>
            <w:tcW w:w="1459" w:type="dxa"/>
            <w:noWrap/>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1174" w:type="dxa"/>
            <w:noWrap/>
          </w:tcPr>
          <w:p>
            <w:pPr>
              <w:spacing w:line="360" w:lineRule="auto"/>
              <w:rPr>
                <w:rFonts w:ascii="宋体" w:hAnsi="宋体"/>
                <w:color w:val="auto"/>
                <w:sz w:val="24"/>
              </w:rPr>
            </w:pPr>
          </w:p>
        </w:tc>
        <w:tc>
          <w:tcPr>
            <w:tcW w:w="1459" w:type="dxa"/>
            <w:noWrap/>
          </w:tcPr>
          <w:p>
            <w:pPr>
              <w:spacing w:line="360" w:lineRule="auto"/>
              <w:rPr>
                <w:rFonts w:ascii="宋体" w:hAnsi="宋体"/>
                <w:color w:val="auto"/>
                <w:sz w:val="24"/>
              </w:rPr>
            </w:pPr>
          </w:p>
        </w:tc>
        <w:tc>
          <w:tcPr>
            <w:tcW w:w="1721" w:type="dxa"/>
            <w:noWrap/>
          </w:tcPr>
          <w:p>
            <w:pPr>
              <w:spacing w:line="360" w:lineRule="auto"/>
              <w:rPr>
                <w:rFonts w:ascii="宋体" w:hAnsi="宋体"/>
                <w:color w:val="auto"/>
                <w:sz w:val="24"/>
              </w:rPr>
            </w:pPr>
          </w:p>
        </w:tc>
        <w:tc>
          <w:tcPr>
            <w:tcW w:w="1459" w:type="dxa"/>
            <w:noWrap/>
          </w:tcPr>
          <w:p>
            <w:pPr>
              <w:spacing w:line="360" w:lineRule="auto"/>
              <w:rPr>
                <w:rFonts w:ascii="宋体" w:hAnsi="宋体"/>
                <w:color w:val="auto"/>
                <w:sz w:val="24"/>
              </w:rPr>
            </w:pPr>
          </w:p>
        </w:tc>
        <w:tc>
          <w:tcPr>
            <w:tcW w:w="1459" w:type="dxa"/>
            <w:noWrap/>
          </w:tcPr>
          <w:p>
            <w:pPr>
              <w:spacing w:line="360" w:lineRule="auto"/>
              <w:rPr>
                <w:rFonts w:ascii="宋体" w:hAnsi="宋体"/>
                <w:color w:val="auto"/>
                <w:sz w:val="24"/>
              </w:rPr>
            </w:pPr>
          </w:p>
        </w:tc>
        <w:tc>
          <w:tcPr>
            <w:tcW w:w="1459" w:type="dxa"/>
            <w:noWrap/>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174" w:type="dxa"/>
            <w:noWrap/>
          </w:tcPr>
          <w:p>
            <w:pPr>
              <w:spacing w:line="360" w:lineRule="auto"/>
              <w:rPr>
                <w:rFonts w:ascii="宋体" w:hAnsi="宋体"/>
                <w:color w:val="auto"/>
                <w:sz w:val="24"/>
              </w:rPr>
            </w:pPr>
          </w:p>
        </w:tc>
        <w:tc>
          <w:tcPr>
            <w:tcW w:w="1459" w:type="dxa"/>
            <w:noWrap/>
          </w:tcPr>
          <w:p>
            <w:pPr>
              <w:spacing w:line="360" w:lineRule="auto"/>
              <w:rPr>
                <w:rFonts w:ascii="宋体" w:hAnsi="宋体"/>
                <w:color w:val="auto"/>
                <w:sz w:val="24"/>
              </w:rPr>
            </w:pPr>
          </w:p>
        </w:tc>
        <w:tc>
          <w:tcPr>
            <w:tcW w:w="1721" w:type="dxa"/>
            <w:noWrap/>
          </w:tcPr>
          <w:p>
            <w:pPr>
              <w:spacing w:line="360" w:lineRule="auto"/>
              <w:rPr>
                <w:rFonts w:ascii="宋体" w:hAnsi="宋体"/>
                <w:color w:val="auto"/>
                <w:sz w:val="24"/>
              </w:rPr>
            </w:pPr>
          </w:p>
        </w:tc>
        <w:tc>
          <w:tcPr>
            <w:tcW w:w="1459" w:type="dxa"/>
            <w:noWrap/>
          </w:tcPr>
          <w:p>
            <w:pPr>
              <w:spacing w:line="360" w:lineRule="auto"/>
              <w:rPr>
                <w:rFonts w:ascii="宋体" w:hAnsi="宋体"/>
                <w:color w:val="auto"/>
                <w:sz w:val="24"/>
              </w:rPr>
            </w:pPr>
          </w:p>
        </w:tc>
        <w:tc>
          <w:tcPr>
            <w:tcW w:w="1459" w:type="dxa"/>
            <w:noWrap/>
          </w:tcPr>
          <w:p>
            <w:pPr>
              <w:spacing w:line="360" w:lineRule="auto"/>
              <w:rPr>
                <w:rFonts w:ascii="宋体" w:hAnsi="宋体"/>
                <w:color w:val="auto"/>
                <w:sz w:val="24"/>
              </w:rPr>
            </w:pPr>
          </w:p>
        </w:tc>
        <w:tc>
          <w:tcPr>
            <w:tcW w:w="1459" w:type="dxa"/>
            <w:noWrap/>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174" w:type="dxa"/>
            <w:noWrap/>
          </w:tcPr>
          <w:p>
            <w:pPr>
              <w:spacing w:line="360" w:lineRule="auto"/>
              <w:rPr>
                <w:rFonts w:ascii="宋体" w:hAnsi="宋体"/>
                <w:color w:val="auto"/>
                <w:sz w:val="24"/>
              </w:rPr>
            </w:pPr>
          </w:p>
        </w:tc>
        <w:tc>
          <w:tcPr>
            <w:tcW w:w="1459" w:type="dxa"/>
            <w:noWrap/>
          </w:tcPr>
          <w:p>
            <w:pPr>
              <w:spacing w:line="360" w:lineRule="auto"/>
              <w:rPr>
                <w:rFonts w:ascii="宋体" w:hAnsi="宋体"/>
                <w:color w:val="auto"/>
                <w:sz w:val="24"/>
              </w:rPr>
            </w:pPr>
          </w:p>
        </w:tc>
        <w:tc>
          <w:tcPr>
            <w:tcW w:w="1721" w:type="dxa"/>
            <w:noWrap/>
          </w:tcPr>
          <w:p>
            <w:pPr>
              <w:spacing w:line="360" w:lineRule="auto"/>
              <w:rPr>
                <w:rFonts w:ascii="宋体" w:hAnsi="宋体"/>
                <w:color w:val="auto"/>
                <w:sz w:val="24"/>
              </w:rPr>
            </w:pPr>
          </w:p>
        </w:tc>
        <w:tc>
          <w:tcPr>
            <w:tcW w:w="1459" w:type="dxa"/>
            <w:noWrap/>
          </w:tcPr>
          <w:p>
            <w:pPr>
              <w:spacing w:line="360" w:lineRule="auto"/>
              <w:rPr>
                <w:rFonts w:ascii="宋体" w:hAnsi="宋体"/>
                <w:color w:val="auto"/>
                <w:sz w:val="24"/>
              </w:rPr>
            </w:pPr>
          </w:p>
        </w:tc>
        <w:tc>
          <w:tcPr>
            <w:tcW w:w="1459" w:type="dxa"/>
            <w:noWrap/>
          </w:tcPr>
          <w:p>
            <w:pPr>
              <w:spacing w:line="360" w:lineRule="auto"/>
              <w:rPr>
                <w:rFonts w:ascii="宋体" w:hAnsi="宋体"/>
                <w:color w:val="auto"/>
                <w:sz w:val="24"/>
              </w:rPr>
            </w:pPr>
          </w:p>
        </w:tc>
        <w:tc>
          <w:tcPr>
            <w:tcW w:w="1459" w:type="dxa"/>
            <w:noWrap/>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1174" w:type="dxa"/>
            <w:noWrap/>
          </w:tcPr>
          <w:p>
            <w:pPr>
              <w:spacing w:line="360" w:lineRule="auto"/>
              <w:rPr>
                <w:rFonts w:ascii="宋体" w:hAnsi="宋体"/>
                <w:color w:val="auto"/>
                <w:sz w:val="24"/>
              </w:rPr>
            </w:pPr>
          </w:p>
        </w:tc>
        <w:tc>
          <w:tcPr>
            <w:tcW w:w="1459" w:type="dxa"/>
            <w:noWrap/>
          </w:tcPr>
          <w:p>
            <w:pPr>
              <w:spacing w:line="360" w:lineRule="auto"/>
              <w:rPr>
                <w:rFonts w:ascii="宋体" w:hAnsi="宋体"/>
                <w:color w:val="auto"/>
                <w:sz w:val="24"/>
              </w:rPr>
            </w:pPr>
          </w:p>
        </w:tc>
        <w:tc>
          <w:tcPr>
            <w:tcW w:w="1721" w:type="dxa"/>
            <w:noWrap/>
          </w:tcPr>
          <w:p>
            <w:pPr>
              <w:spacing w:line="360" w:lineRule="auto"/>
              <w:rPr>
                <w:rFonts w:ascii="宋体" w:hAnsi="宋体"/>
                <w:color w:val="auto"/>
                <w:sz w:val="24"/>
              </w:rPr>
            </w:pPr>
          </w:p>
        </w:tc>
        <w:tc>
          <w:tcPr>
            <w:tcW w:w="1459" w:type="dxa"/>
            <w:noWrap/>
          </w:tcPr>
          <w:p>
            <w:pPr>
              <w:spacing w:line="360" w:lineRule="auto"/>
              <w:rPr>
                <w:rFonts w:ascii="宋体" w:hAnsi="宋体"/>
                <w:color w:val="auto"/>
                <w:sz w:val="24"/>
              </w:rPr>
            </w:pPr>
          </w:p>
        </w:tc>
        <w:tc>
          <w:tcPr>
            <w:tcW w:w="1459" w:type="dxa"/>
            <w:noWrap/>
          </w:tcPr>
          <w:p>
            <w:pPr>
              <w:spacing w:line="360" w:lineRule="auto"/>
              <w:rPr>
                <w:rFonts w:ascii="宋体" w:hAnsi="宋体"/>
                <w:color w:val="auto"/>
                <w:sz w:val="24"/>
              </w:rPr>
            </w:pPr>
          </w:p>
        </w:tc>
        <w:tc>
          <w:tcPr>
            <w:tcW w:w="1459" w:type="dxa"/>
            <w:noWrap/>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174" w:type="dxa"/>
            <w:noWrap/>
          </w:tcPr>
          <w:p>
            <w:pPr>
              <w:spacing w:line="360" w:lineRule="auto"/>
              <w:rPr>
                <w:rFonts w:ascii="宋体" w:hAnsi="宋体"/>
                <w:color w:val="auto"/>
                <w:sz w:val="24"/>
              </w:rPr>
            </w:pPr>
          </w:p>
        </w:tc>
        <w:tc>
          <w:tcPr>
            <w:tcW w:w="1459" w:type="dxa"/>
            <w:noWrap/>
          </w:tcPr>
          <w:p>
            <w:pPr>
              <w:spacing w:line="360" w:lineRule="auto"/>
              <w:rPr>
                <w:rFonts w:ascii="宋体" w:hAnsi="宋体"/>
                <w:color w:val="auto"/>
                <w:sz w:val="24"/>
              </w:rPr>
            </w:pPr>
          </w:p>
        </w:tc>
        <w:tc>
          <w:tcPr>
            <w:tcW w:w="1721" w:type="dxa"/>
            <w:noWrap/>
          </w:tcPr>
          <w:p>
            <w:pPr>
              <w:spacing w:line="360" w:lineRule="auto"/>
              <w:rPr>
                <w:rFonts w:ascii="宋体" w:hAnsi="宋体"/>
                <w:color w:val="auto"/>
                <w:sz w:val="24"/>
              </w:rPr>
            </w:pPr>
          </w:p>
        </w:tc>
        <w:tc>
          <w:tcPr>
            <w:tcW w:w="1459" w:type="dxa"/>
            <w:noWrap/>
          </w:tcPr>
          <w:p>
            <w:pPr>
              <w:spacing w:line="360" w:lineRule="auto"/>
              <w:rPr>
                <w:rFonts w:ascii="宋体" w:hAnsi="宋体"/>
                <w:color w:val="auto"/>
                <w:sz w:val="24"/>
              </w:rPr>
            </w:pPr>
          </w:p>
        </w:tc>
        <w:tc>
          <w:tcPr>
            <w:tcW w:w="1459" w:type="dxa"/>
            <w:noWrap/>
          </w:tcPr>
          <w:p>
            <w:pPr>
              <w:spacing w:line="360" w:lineRule="auto"/>
              <w:rPr>
                <w:rFonts w:ascii="宋体" w:hAnsi="宋体"/>
                <w:color w:val="auto"/>
                <w:sz w:val="24"/>
              </w:rPr>
            </w:pPr>
          </w:p>
        </w:tc>
        <w:tc>
          <w:tcPr>
            <w:tcW w:w="1459" w:type="dxa"/>
            <w:noWrap/>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174" w:type="dxa"/>
            <w:noWrap/>
          </w:tcPr>
          <w:p>
            <w:pPr>
              <w:spacing w:line="360" w:lineRule="auto"/>
              <w:rPr>
                <w:rFonts w:ascii="宋体" w:hAnsi="宋体"/>
                <w:color w:val="auto"/>
                <w:sz w:val="24"/>
              </w:rPr>
            </w:pPr>
          </w:p>
        </w:tc>
        <w:tc>
          <w:tcPr>
            <w:tcW w:w="1459" w:type="dxa"/>
            <w:noWrap/>
          </w:tcPr>
          <w:p>
            <w:pPr>
              <w:spacing w:line="360" w:lineRule="auto"/>
              <w:rPr>
                <w:rFonts w:ascii="宋体" w:hAnsi="宋体"/>
                <w:color w:val="auto"/>
                <w:sz w:val="24"/>
              </w:rPr>
            </w:pPr>
          </w:p>
        </w:tc>
        <w:tc>
          <w:tcPr>
            <w:tcW w:w="1721" w:type="dxa"/>
            <w:noWrap/>
          </w:tcPr>
          <w:p>
            <w:pPr>
              <w:spacing w:line="360" w:lineRule="auto"/>
              <w:rPr>
                <w:rFonts w:ascii="宋体" w:hAnsi="宋体"/>
                <w:color w:val="auto"/>
                <w:sz w:val="24"/>
              </w:rPr>
            </w:pPr>
          </w:p>
        </w:tc>
        <w:tc>
          <w:tcPr>
            <w:tcW w:w="1459" w:type="dxa"/>
            <w:noWrap/>
          </w:tcPr>
          <w:p>
            <w:pPr>
              <w:spacing w:line="360" w:lineRule="auto"/>
              <w:rPr>
                <w:rFonts w:ascii="宋体" w:hAnsi="宋体"/>
                <w:color w:val="auto"/>
                <w:sz w:val="24"/>
              </w:rPr>
            </w:pPr>
          </w:p>
        </w:tc>
        <w:tc>
          <w:tcPr>
            <w:tcW w:w="1459" w:type="dxa"/>
            <w:noWrap/>
          </w:tcPr>
          <w:p>
            <w:pPr>
              <w:spacing w:line="360" w:lineRule="auto"/>
              <w:rPr>
                <w:rFonts w:ascii="宋体" w:hAnsi="宋体"/>
                <w:color w:val="auto"/>
                <w:sz w:val="24"/>
              </w:rPr>
            </w:pPr>
          </w:p>
        </w:tc>
        <w:tc>
          <w:tcPr>
            <w:tcW w:w="1459" w:type="dxa"/>
            <w:noWrap/>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1174" w:type="dxa"/>
            <w:noWrap/>
          </w:tcPr>
          <w:p>
            <w:pPr>
              <w:spacing w:line="360" w:lineRule="auto"/>
              <w:rPr>
                <w:rFonts w:ascii="宋体" w:hAnsi="宋体"/>
                <w:color w:val="auto"/>
                <w:sz w:val="24"/>
              </w:rPr>
            </w:pPr>
          </w:p>
        </w:tc>
        <w:tc>
          <w:tcPr>
            <w:tcW w:w="1459" w:type="dxa"/>
            <w:noWrap/>
          </w:tcPr>
          <w:p>
            <w:pPr>
              <w:spacing w:line="360" w:lineRule="auto"/>
              <w:rPr>
                <w:rFonts w:ascii="宋体" w:hAnsi="宋体"/>
                <w:color w:val="auto"/>
                <w:sz w:val="24"/>
              </w:rPr>
            </w:pPr>
          </w:p>
        </w:tc>
        <w:tc>
          <w:tcPr>
            <w:tcW w:w="1721" w:type="dxa"/>
            <w:noWrap/>
          </w:tcPr>
          <w:p>
            <w:pPr>
              <w:spacing w:line="360" w:lineRule="auto"/>
              <w:rPr>
                <w:rFonts w:ascii="宋体" w:hAnsi="宋体"/>
                <w:color w:val="auto"/>
                <w:sz w:val="24"/>
              </w:rPr>
            </w:pPr>
          </w:p>
        </w:tc>
        <w:tc>
          <w:tcPr>
            <w:tcW w:w="1459" w:type="dxa"/>
            <w:noWrap/>
          </w:tcPr>
          <w:p>
            <w:pPr>
              <w:spacing w:line="360" w:lineRule="auto"/>
              <w:rPr>
                <w:rFonts w:ascii="宋体" w:hAnsi="宋体"/>
                <w:color w:val="auto"/>
                <w:sz w:val="24"/>
              </w:rPr>
            </w:pPr>
          </w:p>
        </w:tc>
        <w:tc>
          <w:tcPr>
            <w:tcW w:w="1459" w:type="dxa"/>
            <w:noWrap/>
          </w:tcPr>
          <w:p>
            <w:pPr>
              <w:spacing w:line="360" w:lineRule="auto"/>
              <w:rPr>
                <w:rFonts w:ascii="宋体" w:hAnsi="宋体"/>
                <w:color w:val="auto"/>
                <w:sz w:val="24"/>
              </w:rPr>
            </w:pPr>
          </w:p>
        </w:tc>
        <w:tc>
          <w:tcPr>
            <w:tcW w:w="1459" w:type="dxa"/>
            <w:noWrap/>
          </w:tcPr>
          <w:p>
            <w:pPr>
              <w:spacing w:line="360" w:lineRule="auto"/>
              <w:rPr>
                <w:rFonts w:ascii="宋体" w:hAnsi="宋体"/>
                <w:color w:val="auto"/>
                <w:sz w:val="24"/>
              </w:rPr>
            </w:pPr>
          </w:p>
        </w:tc>
      </w:tr>
    </w:tbl>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注：投标人</w:t>
      </w:r>
      <w:r>
        <w:rPr>
          <w:rFonts w:ascii="宋体" w:hAnsi="宋体"/>
          <w:color w:val="auto"/>
          <w:sz w:val="24"/>
        </w:rPr>
        <w:t>应如实详细填写技术规格偏离表，应将技术参数逐条详细列在偏离表中，不得只简单列出规格型号，也不得在“投标响应”栏中仅出现“响应”字样，</w:t>
      </w:r>
      <w:r>
        <w:rPr>
          <w:rFonts w:ascii="宋体" w:hAnsi="宋体"/>
          <w:b/>
          <w:color w:val="auto"/>
          <w:sz w:val="24"/>
        </w:rPr>
        <w:t>否则</w:t>
      </w:r>
      <w:r>
        <w:rPr>
          <w:rFonts w:hint="eastAsia" w:ascii="宋体" w:hAnsi="宋体"/>
          <w:b/>
          <w:color w:val="auto"/>
          <w:sz w:val="24"/>
        </w:rPr>
        <w:t>按无效投标处理</w:t>
      </w:r>
      <w:r>
        <w:rPr>
          <w:rFonts w:ascii="宋体" w:hAnsi="宋体"/>
          <w:color w:val="auto"/>
          <w:sz w:val="24"/>
        </w:rPr>
        <w:t>。</w:t>
      </w: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 xml:space="preserve">投标人代表签字： </w:t>
      </w:r>
    </w:p>
    <w:p>
      <w:pPr>
        <w:spacing w:line="360" w:lineRule="auto"/>
        <w:jc w:val="center"/>
        <w:rPr>
          <w:rFonts w:ascii="宋体" w:hAnsi="宋体"/>
          <w:color w:val="auto"/>
          <w:sz w:val="24"/>
        </w:rPr>
      </w:pPr>
      <w:r>
        <w:rPr>
          <w:rFonts w:ascii="宋体" w:hAnsi="宋体"/>
          <w:color w:val="auto"/>
          <w:sz w:val="24"/>
        </w:rPr>
        <w:br w:type="page"/>
      </w:r>
    </w:p>
    <w:p>
      <w:pPr>
        <w:pStyle w:val="84"/>
        <w:spacing w:line="360" w:lineRule="auto"/>
        <w:jc w:val="center"/>
        <w:outlineLvl w:val="9"/>
        <w:rPr>
          <w:rFonts w:hAnsi="宋体"/>
          <w:color w:val="auto"/>
        </w:rPr>
      </w:pPr>
      <w:r>
        <w:rPr>
          <w:rFonts w:hint="eastAsia" w:hAnsi="宋体"/>
          <w:b/>
          <w:color w:val="auto"/>
          <w:sz w:val="36"/>
        </w:rPr>
        <w:t>2、商务偏离表</w:t>
      </w:r>
      <w:r>
        <w:rPr>
          <w:rFonts w:hint="eastAsia" w:hAnsi="宋体"/>
          <w:color w:val="auto"/>
        </w:rPr>
        <w:cr/>
      </w:r>
    </w:p>
    <w:p>
      <w:pPr>
        <w:spacing w:line="360" w:lineRule="auto"/>
        <w:ind w:firstLine="480" w:firstLineChars="200"/>
        <w:rPr>
          <w:rFonts w:ascii="宋体" w:hAnsi="宋体"/>
          <w:color w:val="auto"/>
          <w:sz w:val="24"/>
        </w:rPr>
      </w:pPr>
      <w:r>
        <w:rPr>
          <w:rFonts w:hint="eastAsia" w:ascii="宋体" w:hAnsi="宋体"/>
          <w:color w:val="auto"/>
          <w:sz w:val="24"/>
        </w:rPr>
        <w:t>投标人名称：（全称并加盖公章）                          招标编号∶</w:t>
      </w:r>
      <w:r>
        <w:rPr>
          <w:rFonts w:ascii="宋体" w:hAnsi="宋体"/>
          <w:color w:val="auto"/>
          <w:sz w:val="24"/>
        </w:rPr>
        <w:tab/>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345"/>
        <w:gridCol w:w="1926"/>
        <w:gridCol w:w="1460"/>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872" w:type="dxa"/>
            <w:noWrap/>
            <w:vAlign w:val="center"/>
          </w:tcPr>
          <w:p>
            <w:pPr>
              <w:spacing w:line="360" w:lineRule="auto"/>
              <w:jc w:val="center"/>
              <w:rPr>
                <w:rFonts w:ascii="宋体" w:hAnsi="宋体"/>
                <w:color w:val="auto"/>
                <w:sz w:val="24"/>
              </w:rPr>
            </w:pPr>
            <w:r>
              <w:rPr>
                <w:rFonts w:hint="eastAsia" w:ascii="宋体" w:hAnsi="宋体"/>
                <w:color w:val="auto"/>
                <w:sz w:val="24"/>
              </w:rPr>
              <w:t>序号</w:t>
            </w:r>
          </w:p>
        </w:tc>
        <w:tc>
          <w:tcPr>
            <w:tcW w:w="2345" w:type="dxa"/>
            <w:noWrap/>
            <w:vAlign w:val="center"/>
          </w:tcPr>
          <w:p>
            <w:pPr>
              <w:spacing w:line="360" w:lineRule="auto"/>
              <w:rPr>
                <w:rFonts w:ascii="宋体" w:hAnsi="宋体"/>
                <w:color w:val="auto"/>
                <w:sz w:val="24"/>
              </w:rPr>
            </w:pPr>
            <w:r>
              <w:rPr>
                <w:rFonts w:hint="eastAsia" w:ascii="宋体" w:hAnsi="宋体"/>
                <w:color w:val="auto"/>
                <w:sz w:val="24"/>
              </w:rPr>
              <w:t>招标文件规定的商务要求</w:t>
            </w:r>
          </w:p>
        </w:tc>
        <w:tc>
          <w:tcPr>
            <w:tcW w:w="1926" w:type="dxa"/>
            <w:noWrap/>
            <w:vAlign w:val="center"/>
          </w:tcPr>
          <w:p>
            <w:pPr>
              <w:spacing w:line="360" w:lineRule="auto"/>
              <w:rPr>
                <w:rFonts w:ascii="宋体" w:hAnsi="宋体"/>
                <w:color w:val="auto"/>
                <w:sz w:val="24"/>
              </w:rPr>
            </w:pPr>
            <w:r>
              <w:rPr>
                <w:rFonts w:hint="eastAsia" w:ascii="宋体" w:hAnsi="宋体"/>
                <w:color w:val="auto"/>
                <w:sz w:val="24"/>
              </w:rPr>
              <w:t>投标响应的商务要求</w:t>
            </w:r>
          </w:p>
        </w:tc>
        <w:tc>
          <w:tcPr>
            <w:tcW w:w="1460" w:type="dxa"/>
            <w:noWrap/>
            <w:vAlign w:val="center"/>
          </w:tcPr>
          <w:p>
            <w:pPr>
              <w:spacing w:line="360" w:lineRule="auto"/>
              <w:rPr>
                <w:rFonts w:ascii="宋体" w:hAnsi="宋体"/>
                <w:color w:val="auto"/>
                <w:sz w:val="24"/>
              </w:rPr>
            </w:pPr>
            <w:r>
              <w:rPr>
                <w:rFonts w:hint="eastAsia" w:ascii="宋体" w:hAnsi="宋体"/>
                <w:color w:val="auto"/>
                <w:sz w:val="24"/>
              </w:rPr>
              <w:t>偏离详细说明</w:t>
            </w:r>
          </w:p>
        </w:tc>
        <w:tc>
          <w:tcPr>
            <w:tcW w:w="1460" w:type="dxa"/>
            <w:noWrap/>
            <w:vAlign w:val="center"/>
          </w:tcPr>
          <w:p>
            <w:pPr>
              <w:spacing w:line="360" w:lineRule="auto"/>
              <w:jc w:val="center"/>
              <w:rPr>
                <w:rFonts w:ascii="宋体" w:hAnsi="宋体"/>
                <w:color w:val="auto"/>
                <w:sz w:val="24"/>
              </w:rPr>
            </w:pPr>
            <w:r>
              <w:rPr>
                <w:rFonts w:hint="eastAsia" w:ascii="宋体" w:hAnsi="宋体"/>
                <w:color w:val="auto"/>
                <w:sz w:val="24"/>
              </w:rPr>
              <w:t>投标文件相应页码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872" w:type="dxa"/>
            <w:noWrap/>
            <w:vAlign w:val="center"/>
          </w:tcPr>
          <w:p>
            <w:pPr>
              <w:spacing w:line="360" w:lineRule="auto"/>
              <w:jc w:val="center"/>
              <w:rPr>
                <w:rFonts w:ascii="宋体" w:hAnsi="宋体"/>
                <w:color w:val="auto"/>
                <w:sz w:val="24"/>
              </w:rPr>
            </w:pPr>
            <w:r>
              <w:rPr>
                <w:rFonts w:hint="eastAsia" w:ascii="宋体" w:hAnsi="宋体"/>
                <w:color w:val="auto"/>
                <w:sz w:val="24"/>
              </w:rPr>
              <w:t>1</w:t>
            </w:r>
          </w:p>
        </w:tc>
        <w:tc>
          <w:tcPr>
            <w:tcW w:w="2345" w:type="dxa"/>
            <w:noWrap/>
            <w:vAlign w:val="center"/>
          </w:tcPr>
          <w:p>
            <w:pPr>
              <w:spacing w:line="360" w:lineRule="auto"/>
              <w:rPr>
                <w:rFonts w:ascii="宋体" w:hAnsi="宋体" w:cs="仿宋_GB2312"/>
                <w:color w:val="auto"/>
                <w:sz w:val="24"/>
                <w:lang w:val="zh-CN"/>
              </w:rPr>
            </w:pPr>
          </w:p>
        </w:tc>
        <w:tc>
          <w:tcPr>
            <w:tcW w:w="1926" w:type="dxa"/>
            <w:noWrap/>
          </w:tcPr>
          <w:p>
            <w:pPr>
              <w:spacing w:line="360" w:lineRule="auto"/>
              <w:rPr>
                <w:rFonts w:ascii="宋体" w:hAnsi="宋体"/>
                <w:color w:val="auto"/>
                <w:sz w:val="24"/>
              </w:rPr>
            </w:pPr>
          </w:p>
        </w:tc>
        <w:tc>
          <w:tcPr>
            <w:tcW w:w="1460" w:type="dxa"/>
            <w:noWrap/>
          </w:tcPr>
          <w:p>
            <w:pPr>
              <w:spacing w:line="360" w:lineRule="auto"/>
              <w:rPr>
                <w:rFonts w:ascii="宋体" w:hAnsi="宋体"/>
                <w:color w:val="auto"/>
                <w:sz w:val="24"/>
              </w:rPr>
            </w:pPr>
          </w:p>
        </w:tc>
        <w:tc>
          <w:tcPr>
            <w:tcW w:w="1460" w:type="dxa"/>
            <w:noWrap/>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872" w:type="dxa"/>
            <w:noWrap/>
            <w:vAlign w:val="center"/>
          </w:tcPr>
          <w:p>
            <w:pPr>
              <w:spacing w:line="360" w:lineRule="auto"/>
              <w:jc w:val="center"/>
              <w:rPr>
                <w:rFonts w:ascii="宋体" w:hAnsi="宋体"/>
                <w:color w:val="auto"/>
                <w:sz w:val="24"/>
              </w:rPr>
            </w:pPr>
            <w:r>
              <w:rPr>
                <w:rFonts w:hint="eastAsia" w:ascii="宋体" w:hAnsi="宋体"/>
                <w:color w:val="auto"/>
                <w:sz w:val="24"/>
              </w:rPr>
              <w:t>2</w:t>
            </w:r>
          </w:p>
        </w:tc>
        <w:tc>
          <w:tcPr>
            <w:tcW w:w="2345" w:type="dxa"/>
            <w:noWrap/>
            <w:vAlign w:val="center"/>
          </w:tcPr>
          <w:p>
            <w:pPr>
              <w:spacing w:line="360" w:lineRule="auto"/>
              <w:rPr>
                <w:rFonts w:ascii="宋体" w:hAnsi="宋体" w:cs="仿宋_GB2312"/>
                <w:color w:val="auto"/>
                <w:sz w:val="24"/>
                <w:lang w:val="zh-CN"/>
              </w:rPr>
            </w:pPr>
          </w:p>
        </w:tc>
        <w:tc>
          <w:tcPr>
            <w:tcW w:w="1926" w:type="dxa"/>
            <w:noWrap/>
          </w:tcPr>
          <w:p>
            <w:pPr>
              <w:spacing w:line="360" w:lineRule="auto"/>
              <w:rPr>
                <w:rFonts w:ascii="宋体" w:hAnsi="宋体"/>
                <w:color w:val="auto"/>
                <w:sz w:val="24"/>
              </w:rPr>
            </w:pPr>
          </w:p>
        </w:tc>
        <w:tc>
          <w:tcPr>
            <w:tcW w:w="1460" w:type="dxa"/>
            <w:noWrap/>
          </w:tcPr>
          <w:p>
            <w:pPr>
              <w:spacing w:line="360" w:lineRule="auto"/>
              <w:rPr>
                <w:rFonts w:ascii="宋体" w:hAnsi="宋体"/>
                <w:color w:val="auto"/>
                <w:sz w:val="24"/>
              </w:rPr>
            </w:pPr>
          </w:p>
        </w:tc>
        <w:tc>
          <w:tcPr>
            <w:tcW w:w="1460" w:type="dxa"/>
            <w:noWrap/>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872" w:type="dxa"/>
            <w:noWrap/>
            <w:vAlign w:val="center"/>
          </w:tcPr>
          <w:p>
            <w:pPr>
              <w:spacing w:line="360" w:lineRule="auto"/>
              <w:jc w:val="center"/>
              <w:rPr>
                <w:rFonts w:ascii="宋体" w:hAnsi="宋体"/>
                <w:color w:val="auto"/>
                <w:sz w:val="24"/>
              </w:rPr>
            </w:pPr>
            <w:r>
              <w:rPr>
                <w:rFonts w:hint="eastAsia" w:ascii="宋体" w:hAnsi="宋体"/>
                <w:color w:val="auto"/>
                <w:sz w:val="24"/>
              </w:rPr>
              <w:t>3</w:t>
            </w:r>
          </w:p>
        </w:tc>
        <w:tc>
          <w:tcPr>
            <w:tcW w:w="2345" w:type="dxa"/>
            <w:noWrap/>
            <w:vAlign w:val="center"/>
          </w:tcPr>
          <w:p>
            <w:pPr>
              <w:spacing w:line="360" w:lineRule="auto"/>
              <w:rPr>
                <w:rFonts w:ascii="宋体" w:hAnsi="宋体"/>
                <w:bCs/>
                <w:color w:val="auto"/>
                <w:sz w:val="24"/>
              </w:rPr>
            </w:pPr>
          </w:p>
        </w:tc>
        <w:tc>
          <w:tcPr>
            <w:tcW w:w="1926" w:type="dxa"/>
            <w:noWrap/>
          </w:tcPr>
          <w:p>
            <w:pPr>
              <w:spacing w:line="360" w:lineRule="auto"/>
              <w:rPr>
                <w:rFonts w:ascii="宋体" w:hAnsi="宋体"/>
                <w:color w:val="auto"/>
                <w:sz w:val="24"/>
              </w:rPr>
            </w:pPr>
          </w:p>
        </w:tc>
        <w:tc>
          <w:tcPr>
            <w:tcW w:w="1460" w:type="dxa"/>
            <w:noWrap/>
          </w:tcPr>
          <w:p>
            <w:pPr>
              <w:spacing w:line="360" w:lineRule="auto"/>
              <w:rPr>
                <w:rFonts w:ascii="宋体" w:hAnsi="宋体"/>
                <w:color w:val="auto"/>
                <w:sz w:val="24"/>
              </w:rPr>
            </w:pPr>
          </w:p>
        </w:tc>
        <w:tc>
          <w:tcPr>
            <w:tcW w:w="1460" w:type="dxa"/>
            <w:noWrap/>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872" w:type="dxa"/>
            <w:noWrap/>
            <w:vAlign w:val="center"/>
          </w:tcPr>
          <w:p>
            <w:pPr>
              <w:spacing w:line="360" w:lineRule="auto"/>
              <w:jc w:val="center"/>
              <w:rPr>
                <w:rFonts w:ascii="宋体" w:hAnsi="宋体"/>
                <w:color w:val="auto"/>
                <w:sz w:val="24"/>
              </w:rPr>
            </w:pPr>
            <w:r>
              <w:rPr>
                <w:rFonts w:hint="eastAsia" w:ascii="宋体" w:hAnsi="宋体"/>
                <w:color w:val="auto"/>
                <w:sz w:val="24"/>
              </w:rPr>
              <w:t>4</w:t>
            </w:r>
          </w:p>
        </w:tc>
        <w:tc>
          <w:tcPr>
            <w:tcW w:w="2345" w:type="dxa"/>
            <w:noWrap/>
            <w:vAlign w:val="center"/>
          </w:tcPr>
          <w:p>
            <w:pPr>
              <w:spacing w:line="360" w:lineRule="auto"/>
              <w:rPr>
                <w:rFonts w:ascii="宋体" w:hAnsi="宋体"/>
                <w:bCs/>
                <w:color w:val="auto"/>
                <w:sz w:val="24"/>
              </w:rPr>
            </w:pPr>
          </w:p>
        </w:tc>
        <w:tc>
          <w:tcPr>
            <w:tcW w:w="1926" w:type="dxa"/>
            <w:noWrap/>
          </w:tcPr>
          <w:p>
            <w:pPr>
              <w:spacing w:line="360" w:lineRule="auto"/>
              <w:rPr>
                <w:rFonts w:ascii="宋体" w:hAnsi="宋体"/>
                <w:color w:val="auto"/>
                <w:sz w:val="24"/>
              </w:rPr>
            </w:pPr>
          </w:p>
        </w:tc>
        <w:tc>
          <w:tcPr>
            <w:tcW w:w="1460" w:type="dxa"/>
            <w:noWrap/>
          </w:tcPr>
          <w:p>
            <w:pPr>
              <w:spacing w:line="360" w:lineRule="auto"/>
              <w:rPr>
                <w:rFonts w:ascii="宋体" w:hAnsi="宋体"/>
                <w:color w:val="auto"/>
                <w:sz w:val="24"/>
              </w:rPr>
            </w:pPr>
          </w:p>
        </w:tc>
        <w:tc>
          <w:tcPr>
            <w:tcW w:w="1460" w:type="dxa"/>
            <w:noWrap/>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872" w:type="dxa"/>
            <w:noWrap/>
            <w:vAlign w:val="center"/>
          </w:tcPr>
          <w:p>
            <w:pPr>
              <w:spacing w:line="360" w:lineRule="auto"/>
              <w:jc w:val="center"/>
              <w:rPr>
                <w:rFonts w:ascii="宋体" w:hAnsi="宋体"/>
                <w:color w:val="auto"/>
                <w:sz w:val="24"/>
              </w:rPr>
            </w:pPr>
            <w:r>
              <w:rPr>
                <w:rFonts w:hint="eastAsia" w:ascii="宋体" w:hAnsi="宋体"/>
                <w:color w:val="auto"/>
                <w:sz w:val="24"/>
              </w:rPr>
              <w:t>5</w:t>
            </w:r>
          </w:p>
        </w:tc>
        <w:tc>
          <w:tcPr>
            <w:tcW w:w="2345" w:type="dxa"/>
            <w:noWrap/>
            <w:vAlign w:val="center"/>
          </w:tcPr>
          <w:p>
            <w:pPr>
              <w:spacing w:line="360" w:lineRule="auto"/>
              <w:rPr>
                <w:rFonts w:ascii="宋体" w:hAnsi="宋体" w:cs="仿宋_GB2312"/>
                <w:color w:val="auto"/>
                <w:sz w:val="24"/>
                <w:lang w:val="zh-CN"/>
              </w:rPr>
            </w:pPr>
          </w:p>
        </w:tc>
        <w:tc>
          <w:tcPr>
            <w:tcW w:w="1926" w:type="dxa"/>
            <w:noWrap/>
          </w:tcPr>
          <w:p>
            <w:pPr>
              <w:spacing w:line="360" w:lineRule="auto"/>
              <w:rPr>
                <w:rFonts w:ascii="宋体" w:hAnsi="宋体"/>
                <w:color w:val="auto"/>
                <w:sz w:val="24"/>
              </w:rPr>
            </w:pPr>
          </w:p>
        </w:tc>
        <w:tc>
          <w:tcPr>
            <w:tcW w:w="1460" w:type="dxa"/>
            <w:noWrap/>
          </w:tcPr>
          <w:p>
            <w:pPr>
              <w:spacing w:line="360" w:lineRule="auto"/>
              <w:rPr>
                <w:rFonts w:ascii="宋体" w:hAnsi="宋体"/>
                <w:color w:val="auto"/>
                <w:sz w:val="24"/>
              </w:rPr>
            </w:pPr>
          </w:p>
        </w:tc>
        <w:tc>
          <w:tcPr>
            <w:tcW w:w="1460" w:type="dxa"/>
            <w:noWrap/>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872" w:type="dxa"/>
            <w:noWrap/>
            <w:vAlign w:val="center"/>
          </w:tcPr>
          <w:p>
            <w:pPr>
              <w:spacing w:line="360" w:lineRule="auto"/>
              <w:jc w:val="center"/>
              <w:rPr>
                <w:rFonts w:ascii="宋体" w:hAnsi="宋体"/>
                <w:color w:val="auto"/>
                <w:sz w:val="24"/>
              </w:rPr>
            </w:pPr>
            <w:r>
              <w:rPr>
                <w:rFonts w:hint="eastAsia" w:ascii="宋体" w:hAnsi="宋体"/>
                <w:color w:val="auto"/>
                <w:sz w:val="24"/>
              </w:rPr>
              <w:t>6</w:t>
            </w:r>
          </w:p>
        </w:tc>
        <w:tc>
          <w:tcPr>
            <w:tcW w:w="2345" w:type="dxa"/>
            <w:noWrap/>
            <w:vAlign w:val="center"/>
          </w:tcPr>
          <w:p>
            <w:pPr>
              <w:spacing w:line="360" w:lineRule="auto"/>
              <w:rPr>
                <w:rFonts w:ascii="宋体" w:hAnsi="宋体" w:cs="仿宋_GB2312"/>
                <w:color w:val="auto"/>
                <w:sz w:val="24"/>
                <w:lang w:val="zh-CN"/>
              </w:rPr>
            </w:pPr>
          </w:p>
        </w:tc>
        <w:tc>
          <w:tcPr>
            <w:tcW w:w="1926" w:type="dxa"/>
            <w:noWrap/>
          </w:tcPr>
          <w:p>
            <w:pPr>
              <w:spacing w:line="360" w:lineRule="auto"/>
              <w:rPr>
                <w:rFonts w:ascii="宋体" w:hAnsi="宋体"/>
                <w:color w:val="auto"/>
                <w:sz w:val="24"/>
              </w:rPr>
            </w:pPr>
          </w:p>
        </w:tc>
        <w:tc>
          <w:tcPr>
            <w:tcW w:w="1460" w:type="dxa"/>
            <w:noWrap/>
          </w:tcPr>
          <w:p>
            <w:pPr>
              <w:spacing w:line="360" w:lineRule="auto"/>
              <w:rPr>
                <w:rFonts w:ascii="宋体" w:hAnsi="宋体"/>
                <w:color w:val="auto"/>
                <w:sz w:val="24"/>
              </w:rPr>
            </w:pPr>
          </w:p>
        </w:tc>
        <w:tc>
          <w:tcPr>
            <w:tcW w:w="1460" w:type="dxa"/>
            <w:noWrap/>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872" w:type="dxa"/>
            <w:noWrap/>
            <w:vAlign w:val="center"/>
          </w:tcPr>
          <w:p>
            <w:pPr>
              <w:spacing w:line="360" w:lineRule="auto"/>
              <w:jc w:val="center"/>
              <w:rPr>
                <w:rFonts w:ascii="宋体" w:hAnsi="宋体" w:cs="仿宋_GB2312"/>
                <w:color w:val="auto"/>
                <w:sz w:val="24"/>
                <w:lang w:val="zh-CN"/>
              </w:rPr>
            </w:pPr>
            <w:r>
              <w:rPr>
                <w:rFonts w:hint="eastAsia" w:ascii="宋体" w:hAnsi="宋体" w:cs="仿宋_GB2312"/>
                <w:color w:val="auto"/>
                <w:sz w:val="24"/>
                <w:lang w:val="zh-CN"/>
              </w:rPr>
              <w:t>7</w:t>
            </w:r>
          </w:p>
        </w:tc>
        <w:tc>
          <w:tcPr>
            <w:tcW w:w="2345" w:type="dxa"/>
            <w:noWrap/>
            <w:vAlign w:val="center"/>
          </w:tcPr>
          <w:p>
            <w:pPr>
              <w:spacing w:line="360" w:lineRule="auto"/>
              <w:rPr>
                <w:rFonts w:ascii="宋体" w:hAnsi="宋体" w:cs="仿宋_GB2312"/>
                <w:color w:val="auto"/>
                <w:sz w:val="24"/>
                <w:lang w:val="zh-CN"/>
              </w:rPr>
            </w:pPr>
          </w:p>
        </w:tc>
        <w:tc>
          <w:tcPr>
            <w:tcW w:w="1926" w:type="dxa"/>
            <w:noWrap/>
          </w:tcPr>
          <w:p>
            <w:pPr>
              <w:spacing w:line="360" w:lineRule="auto"/>
              <w:rPr>
                <w:rFonts w:ascii="宋体" w:hAnsi="宋体"/>
                <w:color w:val="auto"/>
                <w:sz w:val="24"/>
              </w:rPr>
            </w:pPr>
          </w:p>
        </w:tc>
        <w:tc>
          <w:tcPr>
            <w:tcW w:w="1460" w:type="dxa"/>
            <w:noWrap/>
          </w:tcPr>
          <w:p>
            <w:pPr>
              <w:spacing w:line="360" w:lineRule="auto"/>
              <w:rPr>
                <w:rFonts w:ascii="宋体" w:hAnsi="宋体"/>
                <w:color w:val="auto"/>
                <w:sz w:val="24"/>
              </w:rPr>
            </w:pPr>
          </w:p>
        </w:tc>
        <w:tc>
          <w:tcPr>
            <w:tcW w:w="1460" w:type="dxa"/>
            <w:noWrap/>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872" w:type="dxa"/>
            <w:noWrap/>
            <w:vAlign w:val="center"/>
          </w:tcPr>
          <w:p>
            <w:pPr>
              <w:spacing w:line="360" w:lineRule="auto"/>
              <w:jc w:val="center"/>
              <w:rPr>
                <w:rFonts w:ascii="宋体" w:hAnsi="宋体" w:cs="仿宋_GB2312"/>
                <w:color w:val="auto"/>
                <w:sz w:val="24"/>
                <w:lang w:val="zh-CN"/>
              </w:rPr>
            </w:pPr>
            <w:r>
              <w:rPr>
                <w:rFonts w:hint="eastAsia" w:ascii="宋体" w:hAnsi="宋体" w:cs="仿宋_GB2312"/>
                <w:color w:val="auto"/>
                <w:sz w:val="24"/>
                <w:lang w:val="zh-CN"/>
              </w:rPr>
              <w:t>8</w:t>
            </w:r>
          </w:p>
        </w:tc>
        <w:tc>
          <w:tcPr>
            <w:tcW w:w="2345" w:type="dxa"/>
            <w:noWrap/>
            <w:vAlign w:val="center"/>
          </w:tcPr>
          <w:p>
            <w:pPr>
              <w:spacing w:line="360" w:lineRule="auto"/>
              <w:rPr>
                <w:rFonts w:ascii="宋体" w:hAnsi="宋体" w:cs="仿宋_GB2312"/>
                <w:color w:val="auto"/>
                <w:sz w:val="24"/>
                <w:lang w:val="zh-CN"/>
              </w:rPr>
            </w:pPr>
            <w:r>
              <w:rPr>
                <w:rFonts w:hint="eastAsia" w:ascii="宋体" w:hAnsi="宋体" w:cs="仿宋_GB2312"/>
                <w:color w:val="auto"/>
                <w:sz w:val="24"/>
                <w:lang w:val="zh-CN"/>
              </w:rPr>
              <w:t>……</w:t>
            </w:r>
          </w:p>
        </w:tc>
        <w:tc>
          <w:tcPr>
            <w:tcW w:w="1926" w:type="dxa"/>
            <w:noWrap/>
          </w:tcPr>
          <w:p>
            <w:pPr>
              <w:spacing w:line="360" w:lineRule="auto"/>
              <w:rPr>
                <w:rFonts w:ascii="宋体" w:hAnsi="宋体"/>
                <w:color w:val="auto"/>
                <w:sz w:val="24"/>
              </w:rPr>
            </w:pPr>
          </w:p>
        </w:tc>
        <w:tc>
          <w:tcPr>
            <w:tcW w:w="1460" w:type="dxa"/>
            <w:noWrap/>
          </w:tcPr>
          <w:p>
            <w:pPr>
              <w:spacing w:line="360" w:lineRule="auto"/>
              <w:rPr>
                <w:rFonts w:ascii="宋体" w:hAnsi="宋体"/>
                <w:color w:val="auto"/>
                <w:sz w:val="24"/>
              </w:rPr>
            </w:pPr>
          </w:p>
        </w:tc>
        <w:tc>
          <w:tcPr>
            <w:tcW w:w="1460" w:type="dxa"/>
            <w:noWrap/>
          </w:tcPr>
          <w:p>
            <w:pPr>
              <w:spacing w:line="360" w:lineRule="auto"/>
              <w:rPr>
                <w:rFonts w:ascii="宋体" w:hAnsi="宋体"/>
                <w:color w:val="auto"/>
                <w:sz w:val="24"/>
              </w:rPr>
            </w:pPr>
          </w:p>
        </w:tc>
      </w:tr>
    </w:tbl>
    <w:p>
      <w:pPr>
        <w:tabs>
          <w:tab w:val="left" w:pos="5355"/>
        </w:tabs>
        <w:spacing w:line="360" w:lineRule="auto"/>
        <w:ind w:firstLine="420"/>
        <w:rPr>
          <w:rFonts w:ascii="宋体" w:hAnsi="宋体"/>
          <w:color w:val="auto"/>
          <w:sz w:val="24"/>
        </w:rPr>
      </w:pPr>
      <w:r>
        <w:rPr>
          <w:rFonts w:hint="eastAsia" w:ascii="宋体" w:hAnsi="宋体"/>
          <w:color w:val="auto"/>
          <w:sz w:val="24"/>
        </w:rPr>
        <w:t>注：</w:t>
      </w:r>
    </w:p>
    <w:p>
      <w:pPr>
        <w:tabs>
          <w:tab w:val="left" w:pos="5355"/>
        </w:tabs>
        <w:spacing w:line="360" w:lineRule="auto"/>
        <w:ind w:firstLine="420"/>
        <w:rPr>
          <w:rFonts w:ascii="宋体" w:hAnsi="宋体"/>
          <w:color w:val="auto"/>
          <w:sz w:val="24"/>
        </w:rPr>
      </w:pPr>
      <w:r>
        <w:rPr>
          <w:rFonts w:hint="eastAsia" w:ascii="宋体" w:hAnsi="宋体"/>
          <w:color w:val="auto"/>
          <w:sz w:val="24"/>
        </w:rPr>
        <w:t>1、投标人</w:t>
      </w:r>
      <w:r>
        <w:rPr>
          <w:rFonts w:ascii="宋体" w:hAnsi="宋体"/>
          <w:color w:val="auto"/>
          <w:sz w:val="24"/>
        </w:rPr>
        <w:t>须在满足招标文件要求的条件下，可结合自身实际情况给予更优的承诺。</w:t>
      </w:r>
    </w:p>
    <w:p>
      <w:pPr>
        <w:tabs>
          <w:tab w:val="left" w:pos="5355"/>
        </w:tabs>
        <w:spacing w:line="360" w:lineRule="auto"/>
        <w:ind w:firstLine="420"/>
        <w:rPr>
          <w:rFonts w:ascii="宋体" w:hAnsi="宋体"/>
          <w:color w:val="auto"/>
          <w:sz w:val="24"/>
        </w:rPr>
      </w:pPr>
      <w:r>
        <w:rPr>
          <w:rFonts w:hint="eastAsia" w:ascii="宋体" w:hAnsi="宋体"/>
          <w:color w:val="auto"/>
          <w:sz w:val="24"/>
        </w:rPr>
        <w:t>2</w:t>
      </w:r>
      <w:r>
        <w:rPr>
          <w:rFonts w:ascii="宋体" w:hAnsi="宋体"/>
          <w:color w:val="auto"/>
          <w:sz w:val="24"/>
        </w:rPr>
        <w:t>、</w:t>
      </w:r>
      <w:r>
        <w:rPr>
          <w:rFonts w:hint="eastAsia" w:ascii="宋体" w:hAnsi="宋体"/>
          <w:color w:val="auto"/>
          <w:sz w:val="24"/>
        </w:rPr>
        <w:t>投标人</w:t>
      </w:r>
      <w:r>
        <w:rPr>
          <w:rFonts w:ascii="宋体" w:hAnsi="宋体"/>
          <w:color w:val="auto"/>
          <w:sz w:val="24"/>
        </w:rPr>
        <w:t>应如实详细填写</w:t>
      </w:r>
      <w:r>
        <w:rPr>
          <w:rFonts w:hint="eastAsia" w:ascii="宋体" w:hAnsi="宋体"/>
          <w:color w:val="auto"/>
          <w:sz w:val="24"/>
        </w:rPr>
        <w:t>商务</w:t>
      </w:r>
      <w:r>
        <w:rPr>
          <w:rFonts w:ascii="宋体" w:hAnsi="宋体"/>
          <w:color w:val="auto"/>
          <w:sz w:val="24"/>
        </w:rPr>
        <w:t>偏离表，应将</w:t>
      </w:r>
      <w:r>
        <w:rPr>
          <w:rFonts w:hint="eastAsia" w:ascii="宋体" w:hAnsi="宋体"/>
          <w:color w:val="auto"/>
          <w:sz w:val="24"/>
        </w:rPr>
        <w:t>商务要求</w:t>
      </w:r>
      <w:r>
        <w:rPr>
          <w:rFonts w:ascii="宋体" w:hAnsi="宋体"/>
          <w:color w:val="auto"/>
          <w:sz w:val="24"/>
        </w:rPr>
        <w:t>逐条详细列在偏离表中，不得在“投标响应”栏中仅出现“响应”字样，</w:t>
      </w:r>
      <w:r>
        <w:rPr>
          <w:rFonts w:ascii="宋体" w:hAnsi="宋体"/>
          <w:b/>
          <w:color w:val="auto"/>
          <w:sz w:val="24"/>
        </w:rPr>
        <w:t>否则</w:t>
      </w:r>
      <w:r>
        <w:rPr>
          <w:rFonts w:hint="eastAsia" w:ascii="宋体" w:hAnsi="宋体"/>
          <w:b/>
          <w:color w:val="auto"/>
          <w:sz w:val="24"/>
        </w:rPr>
        <w:t>按无效投标处理</w:t>
      </w:r>
      <w:r>
        <w:rPr>
          <w:rFonts w:ascii="宋体" w:hAnsi="宋体"/>
          <w:color w:val="auto"/>
          <w:sz w:val="24"/>
        </w:rPr>
        <w:t>。</w:t>
      </w:r>
    </w:p>
    <w:p>
      <w:pPr>
        <w:tabs>
          <w:tab w:val="left" w:pos="5355"/>
        </w:tabs>
        <w:spacing w:line="360" w:lineRule="auto"/>
        <w:ind w:firstLine="420"/>
        <w:rPr>
          <w:rFonts w:ascii="宋体" w:hAnsi="宋体"/>
          <w:color w:val="auto"/>
          <w:sz w:val="24"/>
        </w:rPr>
      </w:pPr>
      <w:r>
        <w:rPr>
          <w:rFonts w:hint="eastAsia" w:ascii="宋体" w:hAnsi="宋体"/>
          <w:color w:val="auto"/>
          <w:sz w:val="24"/>
        </w:rPr>
        <w:t>3</w:t>
      </w:r>
      <w:r>
        <w:rPr>
          <w:rFonts w:ascii="宋体" w:hAnsi="宋体"/>
          <w:color w:val="auto"/>
          <w:sz w:val="24"/>
        </w:rPr>
        <w:t>、上述“明细”中所对应的内容，按招标文件要求填写，若不符合，</w:t>
      </w:r>
      <w:r>
        <w:rPr>
          <w:rFonts w:hint="eastAsia" w:ascii="宋体" w:hAnsi="宋体"/>
          <w:color w:val="auto"/>
          <w:sz w:val="24"/>
        </w:rPr>
        <w:t>投标人</w:t>
      </w:r>
      <w:r>
        <w:rPr>
          <w:rFonts w:ascii="宋体" w:hAnsi="宋体"/>
          <w:color w:val="auto"/>
          <w:sz w:val="24"/>
        </w:rPr>
        <w:t>可根据招标文件要求进行删除相应内容。</w:t>
      </w:r>
    </w:p>
    <w:p>
      <w:pPr>
        <w:spacing w:line="360" w:lineRule="auto"/>
        <w:rPr>
          <w:rFonts w:ascii="宋体" w:hAnsi="宋体"/>
          <w:color w:val="auto"/>
          <w:sz w:val="24"/>
        </w:rPr>
      </w:pPr>
      <w:r>
        <w:rPr>
          <w:rFonts w:hint="eastAsia" w:ascii="宋体" w:hAnsi="宋体"/>
          <w:color w:val="auto"/>
          <w:sz w:val="24"/>
        </w:rPr>
        <w:t xml:space="preserve">投标人代表签字： </w:t>
      </w:r>
    </w:p>
    <w:p>
      <w:pPr>
        <w:spacing w:line="360" w:lineRule="auto"/>
        <w:jc w:val="center"/>
        <w:rPr>
          <w:rFonts w:ascii="宋体" w:hAnsi="宋体"/>
          <w:b/>
          <w:color w:val="auto"/>
          <w:sz w:val="36"/>
        </w:rPr>
      </w:pPr>
    </w:p>
    <w:p>
      <w:pPr>
        <w:pStyle w:val="2"/>
        <w:rPr>
          <w:rFonts w:ascii="宋体" w:hAnsi="宋体"/>
          <w:b/>
          <w:color w:val="auto"/>
          <w:sz w:val="36"/>
        </w:rPr>
      </w:pPr>
    </w:p>
    <w:p>
      <w:pPr>
        <w:pStyle w:val="2"/>
        <w:rPr>
          <w:rFonts w:ascii="宋体" w:hAnsi="宋体"/>
          <w:b/>
          <w:color w:val="auto"/>
          <w:sz w:val="36"/>
        </w:rPr>
      </w:pPr>
    </w:p>
    <w:p>
      <w:pPr>
        <w:spacing w:line="360" w:lineRule="auto"/>
        <w:jc w:val="center"/>
        <w:rPr>
          <w:rFonts w:ascii="宋体" w:hAnsi="宋体"/>
          <w:color w:val="auto"/>
        </w:rPr>
      </w:pPr>
      <w:r>
        <w:rPr>
          <w:rFonts w:hint="eastAsia" w:ascii="宋体" w:hAnsi="宋体"/>
          <w:b/>
          <w:color w:val="auto"/>
          <w:sz w:val="36"/>
        </w:rPr>
        <w:t>4、投标人的资格证明文件</w:t>
      </w:r>
    </w:p>
    <w:p>
      <w:pPr>
        <w:pStyle w:val="84"/>
        <w:spacing w:line="360" w:lineRule="auto"/>
        <w:outlineLvl w:val="9"/>
        <w:rPr>
          <w:rFonts w:hAnsi="宋体"/>
          <w:color w:val="auto"/>
        </w:rPr>
      </w:pPr>
    </w:p>
    <w:p>
      <w:pPr>
        <w:spacing w:line="360" w:lineRule="auto"/>
        <w:jc w:val="center"/>
        <w:rPr>
          <w:rFonts w:ascii="宋体" w:hAnsi="宋体"/>
          <w:color w:val="auto"/>
          <w:sz w:val="24"/>
        </w:rPr>
      </w:pPr>
      <w:r>
        <w:rPr>
          <w:rFonts w:hint="eastAsia" w:ascii="宋体" w:hAnsi="宋体"/>
          <w:b/>
          <w:color w:val="auto"/>
          <w:sz w:val="36"/>
        </w:rPr>
        <w:t>4-1、关于资格的声明函</w:t>
      </w:r>
      <w:r>
        <w:rPr>
          <w:rFonts w:hint="eastAsia" w:ascii="宋体" w:hAnsi="宋体"/>
          <w:color w:val="auto"/>
          <w:sz w:val="36"/>
        </w:rPr>
        <w:cr/>
      </w:r>
    </w:p>
    <w:p>
      <w:pPr>
        <w:spacing w:line="360" w:lineRule="auto"/>
        <w:rPr>
          <w:rFonts w:ascii="宋体" w:hAnsi="宋体"/>
          <w:color w:val="auto"/>
          <w:sz w:val="24"/>
        </w:rPr>
      </w:pPr>
      <w:r>
        <w:rPr>
          <w:rFonts w:hint="eastAsia" w:ascii="宋体" w:hAnsi="宋体"/>
          <w:color w:val="auto"/>
          <w:sz w:val="24"/>
        </w:rPr>
        <w:t>宁德市恒福招标有限公司：</w:t>
      </w:r>
    </w:p>
    <w:p>
      <w:pPr>
        <w:spacing w:line="360" w:lineRule="auto"/>
        <w:rPr>
          <w:rFonts w:ascii="宋体" w:hAnsi="宋体"/>
          <w:color w:val="auto"/>
          <w:sz w:val="24"/>
        </w:rPr>
      </w:pPr>
    </w:p>
    <w:p>
      <w:pPr>
        <w:spacing w:line="360" w:lineRule="auto"/>
        <w:ind w:firstLine="480" w:firstLineChars="200"/>
        <w:rPr>
          <w:rFonts w:ascii="宋体" w:hAnsi="宋体"/>
          <w:color w:val="auto"/>
          <w:sz w:val="24"/>
        </w:rPr>
      </w:pPr>
      <w:r>
        <w:rPr>
          <w:rFonts w:hint="eastAsia" w:ascii="宋体" w:hAnsi="宋体"/>
          <w:color w:val="auto"/>
          <w:sz w:val="24"/>
        </w:rPr>
        <w:t>关于贵方年月日第 （招标编号）投标邀请，本签字人愿意参加投标，提供招标文件“采购货物及要求”中规定的（合同包/品目号）（货物名称），并证明提交的下列文件和说明是准确的和真实的。</w:t>
      </w:r>
      <w:r>
        <w:rPr>
          <w:rFonts w:hint="eastAsia" w:ascii="宋体" w:hAnsi="宋体"/>
          <w:color w:val="auto"/>
          <w:sz w:val="24"/>
        </w:rPr>
        <w:cr/>
      </w:r>
    </w:p>
    <w:p>
      <w:pPr>
        <w:spacing w:line="360" w:lineRule="auto"/>
        <w:ind w:firstLine="480" w:firstLineChars="200"/>
        <w:rPr>
          <w:rFonts w:ascii="宋体" w:hAnsi="宋体"/>
          <w:color w:val="auto"/>
          <w:sz w:val="24"/>
        </w:rPr>
      </w:pPr>
      <w:r>
        <w:rPr>
          <w:rFonts w:hint="eastAsia" w:ascii="宋体" w:hAnsi="宋体"/>
          <w:color w:val="auto"/>
          <w:sz w:val="24"/>
        </w:rPr>
        <w:t>1．本签字人确认资格文件中的说明以及投标文件中所有提交的文件和材料是真实的、准确的。</w:t>
      </w:r>
    </w:p>
    <w:p>
      <w:pPr>
        <w:spacing w:line="360" w:lineRule="auto"/>
        <w:ind w:firstLine="480" w:firstLineChars="200"/>
        <w:rPr>
          <w:rFonts w:ascii="宋体" w:hAnsi="宋体"/>
          <w:color w:val="auto"/>
          <w:sz w:val="24"/>
        </w:rPr>
      </w:pPr>
      <w:r>
        <w:rPr>
          <w:rFonts w:hint="eastAsia" w:ascii="宋体" w:hAnsi="宋体"/>
          <w:color w:val="auto"/>
          <w:sz w:val="24"/>
        </w:rPr>
        <w:t>2．我方的资格声明正本一份，</w:t>
      </w:r>
      <w:r>
        <w:rPr>
          <w:rFonts w:hint="eastAsia" w:ascii="宋体" w:hAnsi="宋体"/>
          <w:color w:val="auto"/>
          <w:sz w:val="24"/>
          <w:highlight w:val="yellow"/>
        </w:rPr>
        <w:t>副本三份</w:t>
      </w:r>
      <w:r>
        <w:rPr>
          <w:rFonts w:hint="eastAsia" w:ascii="宋体" w:hAnsi="宋体"/>
          <w:color w:val="auto"/>
          <w:sz w:val="24"/>
        </w:rPr>
        <w:t>，随投标文件一同递交。</w:t>
      </w:r>
    </w:p>
    <w:p>
      <w:pPr>
        <w:spacing w:line="360" w:lineRule="auto"/>
        <w:ind w:firstLine="480" w:firstLineChars="200"/>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投标人（全称并加盖公章）：</w:t>
      </w:r>
    </w:p>
    <w:p>
      <w:pPr>
        <w:spacing w:line="360" w:lineRule="auto"/>
        <w:rPr>
          <w:rFonts w:ascii="宋体" w:hAnsi="宋体"/>
          <w:color w:val="auto"/>
          <w:sz w:val="24"/>
        </w:rPr>
      </w:pPr>
      <w:r>
        <w:rPr>
          <w:rFonts w:hint="eastAsia" w:ascii="宋体" w:hAnsi="宋体"/>
          <w:color w:val="auto"/>
          <w:sz w:val="24"/>
        </w:rPr>
        <w:t>地     址：</w:t>
      </w:r>
    </w:p>
    <w:p>
      <w:pPr>
        <w:spacing w:line="360" w:lineRule="auto"/>
        <w:rPr>
          <w:rFonts w:ascii="宋体" w:hAnsi="宋体"/>
          <w:color w:val="auto"/>
          <w:sz w:val="24"/>
        </w:rPr>
      </w:pPr>
      <w:r>
        <w:rPr>
          <w:rFonts w:hint="eastAsia" w:ascii="宋体" w:hAnsi="宋体"/>
          <w:color w:val="auto"/>
          <w:sz w:val="24"/>
        </w:rPr>
        <w:t>邮     编：</w:t>
      </w:r>
    </w:p>
    <w:p>
      <w:pPr>
        <w:spacing w:line="360" w:lineRule="auto"/>
        <w:rPr>
          <w:rFonts w:ascii="宋体" w:hAnsi="宋体"/>
          <w:color w:val="auto"/>
          <w:sz w:val="24"/>
        </w:rPr>
      </w:pPr>
      <w:r>
        <w:rPr>
          <w:rFonts w:hint="eastAsia" w:ascii="宋体" w:hAnsi="宋体"/>
          <w:color w:val="auto"/>
          <w:sz w:val="24"/>
        </w:rPr>
        <w:t>电 话/传 真：</w:t>
      </w:r>
    </w:p>
    <w:p>
      <w:pPr>
        <w:spacing w:line="360" w:lineRule="auto"/>
        <w:rPr>
          <w:rFonts w:ascii="宋体" w:hAnsi="宋体"/>
          <w:color w:val="auto"/>
        </w:rPr>
        <w:sectPr>
          <w:pgSz w:w="11907" w:h="16840"/>
          <w:pgMar w:top="1134" w:right="1474" w:bottom="1304" w:left="1474" w:header="454" w:footer="624" w:gutter="0"/>
          <w:cols w:space="720" w:num="1"/>
          <w:docGrid w:linePitch="323" w:charSpace="-2"/>
        </w:sectPr>
      </w:pPr>
      <w:r>
        <w:rPr>
          <w:rFonts w:hint="eastAsia" w:ascii="宋体" w:hAnsi="宋体"/>
          <w:color w:val="auto"/>
          <w:sz w:val="24"/>
        </w:rPr>
        <w:t xml:space="preserve">投标人代表签字： </w:t>
      </w:r>
    </w:p>
    <w:p>
      <w:pPr>
        <w:spacing w:line="360" w:lineRule="auto"/>
        <w:jc w:val="center"/>
        <w:rPr>
          <w:rFonts w:ascii="宋体" w:hAnsi="宋体"/>
          <w:color w:val="auto"/>
          <w:sz w:val="24"/>
        </w:rPr>
      </w:pPr>
      <w:r>
        <w:rPr>
          <w:rFonts w:hint="eastAsia" w:ascii="宋体" w:hAnsi="宋体"/>
          <w:b/>
          <w:color w:val="auto"/>
          <w:sz w:val="36"/>
        </w:rPr>
        <w:t>4-2、投标人的资格声明</w:t>
      </w:r>
      <w:r>
        <w:rPr>
          <w:rFonts w:hint="eastAsia" w:ascii="宋体" w:hAnsi="宋体"/>
          <w:color w:val="auto"/>
          <w:sz w:val="36"/>
        </w:rPr>
        <w:cr/>
      </w:r>
    </w:p>
    <w:p>
      <w:pPr>
        <w:spacing w:line="360" w:lineRule="auto"/>
        <w:rPr>
          <w:rFonts w:ascii="宋体" w:hAnsi="宋体"/>
          <w:color w:val="auto"/>
          <w:sz w:val="24"/>
          <w:u w:val="single"/>
        </w:rPr>
      </w:pPr>
      <w:r>
        <w:rPr>
          <w:rFonts w:hint="eastAsia" w:ascii="宋体" w:hAnsi="宋体"/>
          <w:color w:val="auto"/>
          <w:sz w:val="24"/>
        </w:rPr>
        <w:t xml:space="preserve">1．投标人概况：                                   </w:t>
      </w:r>
      <w:r>
        <w:rPr>
          <w:rFonts w:hint="eastAsia" w:ascii="宋体" w:hAnsi="宋体"/>
          <w:color w:val="auto"/>
          <w:sz w:val="24"/>
        </w:rPr>
        <w:cr/>
      </w:r>
      <w:r>
        <w:rPr>
          <w:rFonts w:hint="eastAsia" w:ascii="宋体" w:hAnsi="宋体"/>
          <w:color w:val="auto"/>
          <w:sz w:val="24"/>
        </w:rPr>
        <w:t xml:space="preserve">        Ａ．投标人名称：</w:t>
      </w:r>
      <w:r>
        <w:rPr>
          <w:rFonts w:hint="eastAsia" w:ascii="宋体" w:hAnsi="宋体"/>
          <w:color w:val="auto"/>
          <w:sz w:val="24"/>
          <w:u w:val="single"/>
        </w:rPr>
        <w:cr/>
      </w:r>
      <w:r>
        <w:rPr>
          <w:rFonts w:hint="eastAsia" w:ascii="宋体" w:hAnsi="宋体"/>
          <w:color w:val="auto"/>
          <w:sz w:val="24"/>
        </w:rPr>
        <w:t xml:space="preserve">        Ｂ．注册地址：</w:t>
      </w:r>
      <w:r>
        <w:rPr>
          <w:rFonts w:hint="eastAsia" w:ascii="宋体" w:hAnsi="宋体"/>
          <w:color w:val="auto"/>
          <w:sz w:val="24"/>
          <w:u w:val="single"/>
        </w:rPr>
        <w:cr/>
      </w:r>
      <w:r>
        <w:rPr>
          <w:rFonts w:hint="eastAsia" w:ascii="宋体" w:hAnsi="宋体"/>
          <w:color w:val="auto"/>
          <w:sz w:val="24"/>
        </w:rPr>
        <w:t xml:space="preserve">            传真：电话：  邮编：</w:t>
      </w:r>
      <w:r>
        <w:rPr>
          <w:rFonts w:hint="eastAsia" w:ascii="宋体" w:hAnsi="宋体"/>
          <w:color w:val="auto"/>
          <w:sz w:val="24"/>
        </w:rPr>
        <w:cr/>
      </w:r>
      <w:r>
        <w:rPr>
          <w:rFonts w:hint="eastAsia" w:ascii="宋体" w:hAnsi="宋体"/>
          <w:color w:val="auto"/>
          <w:sz w:val="24"/>
        </w:rPr>
        <w:t xml:space="preserve">        Ｃ．成立或注册日期：</w:t>
      </w:r>
    </w:p>
    <w:p>
      <w:pPr>
        <w:spacing w:line="360" w:lineRule="auto"/>
        <w:rPr>
          <w:rFonts w:ascii="宋体" w:hAnsi="宋体"/>
          <w:color w:val="auto"/>
          <w:sz w:val="24"/>
        </w:rPr>
      </w:pPr>
      <w:r>
        <w:rPr>
          <w:rFonts w:hint="eastAsia" w:ascii="宋体" w:hAnsi="宋体"/>
          <w:color w:val="auto"/>
          <w:sz w:val="24"/>
        </w:rPr>
        <w:t xml:space="preserve">        Ｄ．法人代表：（姓名、职务）</w:t>
      </w:r>
    </w:p>
    <w:p>
      <w:pPr>
        <w:spacing w:line="360" w:lineRule="auto"/>
        <w:rPr>
          <w:rFonts w:ascii="宋体" w:hAnsi="宋体"/>
          <w:color w:val="auto"/>
          <w:sz w:val="24"/>
          <w:u w:val="single"/>
        </w:rPr>
      </w:pPr>
      <w:r>
        <w:rPr>
          <w:rFonts w:hint="eastAsia" w:ascii="宋体" w:hAnsi="宋体"/>
          <w:color w:val="auto"/>
          <w:sz w:val="24"/>
        </w:rPr>
        <w:t xml:space="preserve">        实收资本：</w:t>
      </w:r>
    </w:p>
    <w:p>
      <w:pPr>
        <w:spacing w:line="360" w:lineRule="auto"/>
        <w:rPr>
          <w:rFonts w:ascii="宋体" w:hAnsi="宋体"/>
          <w:color w:val="auto"/>
          <w:sz w:val="24"/>
        </w:rPr>
      </w:pPr>
      <w:r>
        <w:rPr>
          <w:rFonts w:hint="eastAsia" w:ascii="宋体" w:hAnsi="宋体"/>
          <w:color w:val="auto"/>
          <w:sz w:val="24"/>
        </w:rPr>
        <w:t xml:space="preserve">        其中 国家资本： 法人资本：</w:t>
      </w:r>
    </w:p>
    <w:p>
      <w:pPr>
        <w:spacing w:line="360" w:lineRule="auto"/>
        <w:rPr>
          <w:rFonts w:ascii="宋体" w:hAnsi="宋体"/>
          <w:color w:val="auto"/>
          <w:sz w:val="24"/>
        </w:rPr>
      </w:pPr>
      <w:r>
        <w:rPr>
          <w:rFonts w:hint="eastAsia" w:ascii="宋体" w:hAnsi="宋体"/>
          <w:color w:val="auto"/>
          <w:sz w:val="24"/>
        </w:rPr>
        <w:t xml:space="preserve">             个人资本： 外商资本：</w:t>
      </w:r>
    </w:p>
    <w:p>
      <w:pPr>
        <w:spacing w:line="360" w:lineRule="auto"/>
        <w:rPr>
          <w:rFonts w:ascii="宋体" w:hAnsi="宋体"/>
          <w:color w:val="auto"/>
          <w:sz w:val="24"/>
        </w:rPr>
      </w:pPr>
      <w:r>
        <w:rPr>
          <w:rFonts w:hint="eastAsia" w:ascii="宋体" w:hAnsi="宋体"/>
          <w:color w:val="auto"/>
          <w:sz w:val="24"/>
        </w:rPr>
        <w:t xml:space="preserve">    Ｅ．最近资产负债表（到 年月 日为止）。</w:t>
      </w:r>
    </w:p>
    <w:p>
      <w:pPr>
        <w:spacing w:line="360" w:lineRule="auto"/>
        <w:rPr>
          <w:rFonts w:ascii="宋体" w:hAnsi="宋体"/>
          <w:color w:val="auto"/>
          <w:sz w:val="24"/>
          <w:u w:val="single"/>
        </w:rPr>
      </w:pPr>
      <w:r>
        <w:rPr>
          <w:rFonts w:hint="eastAsia" w:ascii="宋体" w:hAnsi="宋体"/>
          <w:color w:val="auto"/>
          <w:sz w:val="24"/>
        </w:rPr>
        <w:t xml:space="preserve">        (1)固定资产合计:</w:t>
      </w:r>
    </w:p>
    <w:p>
      <w:pPr>
        <w:spacing w:line="360" w:lineRule="auto"/>
        <w:rPr>
          <w:rFonts w:ascii="宋体" w:hAnsi="宋体"/>
          <w:color w:val="auto"/>
          <w:sz w:val="24"/>
        </w:rPr>
      </w:pPr>
      <w:r>
        <w:rPr>
          <w:rFonts w:hint="eastAsia" w:ascii="宋体" w:hAnsi="宋体"/>
          <w:color w:val="auto"/>
          <w:sz w:val="24"/>
        </w:rPr>
        <w:t xml:space="preserve">        (2)流动资产合计:</w:t>
      </w:r>
    </w:p>
    <w:p>
      <w:pPr>
        <w:spacing w:line="360" w:lineRule="auto"/>
        <w:rPr>
          <w:rFonts w:ascii="宋体" w:hAnsi="宋体"/>
          <w:color w:val="auto"/>
          <w:sz w:val="24"/>
        </w:rPr>
      </w:pPr>
      <w:r>
        <w:rPr>
          <w:rFonts w:hint="eastAsia" w:ascii="宋体" w:hAnsi="宋体"/>
          <w:color w:val="auto"/>
          <w:sz w:val="24"/>
        </w:rPr>
        <w:t xml:space="preserve">        (3)长期负债合计:</w:t>
      </w:r>
    </w:p>
    <w:p>
      <w:pPr>
        <w:spacing w:line="360" w:lineRule="auto"/>
        <w:rPr>
          <w:rFonts w:ascii="宋体" w:hAnsi="宋体"/>
          <w:color w:val="auto"/>
          <w:sz w:val="24"/>
        </w:rPr>
      </w:pPr>
      <w:r>
        <w:rPr>
          <w:rFonts w:hint="eastAsia" w:ascii="宋体" w:hAnsi="宋体"/>
          <w:color w:val="auto"/>
          <w:sz w:val="24"/>
        </w:rPr>
        <w:t xml:space="preserve">        (4)流动负债合计:</w:t>
      </w:r>
    </w:p>
    <w:p>
      <w:pPr>
        <w:spacing w:line="360" w:lineRule="auto"/>
        <w:rPr>
          <w:rFonts w:ascii="宋体" w:hAnsi="宋体"/>
          <w:color w:val="auto"/>
          <w:sz w:val="24"/>
        </w:rPr>
      </w:pPr>
      <w:r>
        <w:rPr>
          <w:rFonts w:hint="eastAsia" w:ascii="宋体" w:hAnsi="宋体"/>
          <w:color w:val="auto"/>
          <w:sz w:val="24"/>
        </w:rPr>
        <w:t xml:space="preserve">    Ｆ．最近损失表（到年月日为止）。</w:t>
      </w:r>
    </w:p>
    <w:p>
      <w:pPr>
        <w:spacing w:line="360" w:lineRule="auto"/>
        <w:rPr>
          <w:rFonts w:ascii="宋体" w:hAnsi="宋体"/>
          <w:color w:val="auto"/>
          <w:sz w:val="24"/>
          <w:u w:val="single"/>
        </w:rPr>
      </w:pPr>
      <w:r>
        <w:rPr>
          <w:rFonts w:hint="eastAsia" w:ascii="宋体" w:hAnsi="宋体"/>
          <w:color w:val="auto"/>
          <w:sz w:val="24"/>
        </w:rPr>
        <w:t>(1)本年（期）利润总额累计：</w:t>
      </w:r>
    </w:p>
    <w:p>
      <w:pPr>
        <w:spacing w:line="360" w:lineRule="auto"/>
        <w:rPr>
          <w:rFonts w:ascii="宋体" w:hAnsi="宋体"/>
          <w:color w:val="auto"/>
          <w:sz w:val="24"/>
        </w:rPr>
      </w:pPr>
      <w:r>
        <w:rPr>
          <w:rFonts w:hint="eastAsia" w:ascii="宋体" w:hAnsi="宋体"/>
          <w:color w:val="auto"/>
          <w:sz w:val="24"/>
        </w:rPr>
        <w:t xml:space="preserve">(2)本年（期）净利润累计： </w:t>
      </w: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2．我方在此声明，我方具备并满足下列各项条款的规定。本声明如有虚假或不实之处，我方将失去合格投标人资格且我方的投标保证金将不予退还。</w:t>
      </w:r>
    </w:p>
    <w:p>
      <w:pPr>
        <w:spacing w:line="360" w:lineRule="auto"/>
        <w:ind w:firstLine="480" w:firstLineChars="200"/>
        <w:rPr>
          <w:rFonts w:ascii="宋体" w:hAnsi="宋体"/>
          <w:color w:val="auto"/>
          <w:sz w:val="24"/>
        </w:rPr>
      </w:pPr>
      <w:r>
        <w:rPr>
          <w:rFonts w:hint="eastAsia" w:ascii="宋体" w:hAnsi="宋体"/>
          <w:color w:val="auto"/>
          <w:sz w:val="24"/>
        </w:rPr>
        <w:t xml:space="preserve">（1）具有独立承担民事责任的能力； </w:t>
      </w:r>
    </w:p>
    <w:p>
      <w:pPr>
        <w:spacing w:line="360" w:lineRule="auto"/>
        <w:rPr>
          <w:rFonts w:ascii="宋体" w:hAnsi="宋体"/>
          <w:color w:val="auto"/>
          <w:sz w:val="24"/>
        </w:rPr>
      </w:pPr>
      <w:r>
        <w:rPr>
          <w:rFonts w:hint="eastAsia" w:ascii="宋体" w:hAnsi="宋体"/>
          <w:color w:val="auto"/>
          <w:sz w:val="24"/>
        </w:rPr>
        <w:t xml:space="preserve">　　（2）具有良好的商业信誉和健全的财务会计制度； </w:t>
      </w:r>
    </w:p>
    <w:p>
      <w:pPr>
        <w:spacing w:line="360" w:lineRule="auto"/>
        <w:rPr>
          <w:rFonts w:ascii="宋体" w:hAnsi="宋体"/>
          <w:color w:val="auto"/>
          <w:sz w:val="24"/>
        </w:rPr>
      </w:pPr>
      <w:r>
        <w:rPr>
          <w:rFonts w:hint="eastAsia" w:ascii="宋体" w:hAnsi="宋体"/>
          <w:color w:val="auto"/>
          <w:sz w:val="24"/>
        </w:rPr>
        <w:t xml:space="preserve">　　（3）具有履行合同所必需的设备和专业技术能力； </w:t>
      </w:r>
    </w:p>
    <w:p>
      <w:pPr>
        <w:spacing w:line="360" w:lineRule="auto"/>
        <w:rPr>
          <w:rFonts w:ascii="宋体" w:hAnsi="宋体"/>
          <w:color w:val="auto"/>
          <w:sz w:val="24"/>
        </w:rPr>
      </w:pPr>
      <w:r>
        <w:rPr>
          <w:rFonts w:hint="eastAsia" w:ascii="宋体" w:hAnsi="宋体"/>
          <w:color w:val="auto"/>
          <w:sz w:val="24"/>
        </w:rPr>
        <w:t xml:space="preserve">　　（4）有依法缴纳税收和社会保障资金的良好记录； </w:t>
      </w:r>
    </w:p>
    <w:p>
      <w:pPr>
        <w:spacing w:line="360" w:lineRule="auto"/>
        <w:rPr>
          <w:rFonts w:ascii="宋体" w:hAnsi="宋体"/>
          <w:color w:val="auto"/>
          <w:sz w:val="24"/>
        </w:rPr>
      </w:pPr>
      <w:r>
        <w:rPr>
          <w:rFonts w:hint="eastAsia" w:ascii="宋体" w:hAnsi="宋体"/>
          <w:color w:val="auto"/>
          <w:sz w:val="24"/>
        </w:rPr>
        <w:t xml:space="preserve">　　（5）近三年内，在经营活动中没有重大违法记录； </w:t>
      </w: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3．最近三年投标货物在国内主要用户的名称和地址：</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noWrap/>
          </w:tcPr>
          <w:p>
            <w:pPr>
              <w:spacing w:line="360" w:lineRule="auto"/>
              <w:jc w:val="center"/>
              <w:rPr>
                <w:rFonts w:ascii="宋体" w:hAnsi="宋体"/>
                <w:color w:val="auto"/>
                <w:sz w:val="24"/>
              </w:rPr>
            </w:pPr>
            <w:r>
              <w:rPr>
                <w:rFonts w:hint="eastAsia" w:ascii="宋体" w:hAnsi="宋体"/>
                <w:color w:val="auto"/>
                <w:sz w:val="24"/>
              </w:rPr>
              <w:t>用户名称和地址</w:t>
            </w:r>
          </w:p>
        </w:tc>
        <w:tc>
          <w:tcPr>
            <w:tcW w:w="2299" w:type="dxa"/>
            <w:noWrap/>
          </w:tcPr>
          <w:p>
            <w:pPr>
              <w:spacing w:line="360" w:lineRule="auto"/>
              <w:jc w:val="center"/>
              <w:rPr>
                <w:rFonts w:ascii="宋体" w:hAnsi="宋体"/>
                <w:color w:val="auto"/>
                <w:sz w:val="24"/>
              </w:rPr>
            </w:pPr>
            <w:r>
              <w:rPr>
                <w:rFonts w:hint="eastAsia" w:ascii="宋体" w:hAnsi="宋体"/>
                <w:color w:val="auto"/>
                <w:sz w:val="24"/>
              </w:rPr>
              <w:t>销售货物名称、规格</w:t>
            </w:r>
          </w:p>
        </w:tc>
        <w:tc>
          <w:tcPr>
            <w:tcW w:w="1045" w:type="dxa"/>
            <w:noWrap/>
          </w:tcPr>
          <w:p>
            <w:pPr>
              <w:spacing w:line="360" w:lineRule="auto"/>
              <w:jc w:val="center"/>
              <w:rPr>
                <w:rFonts w:ascii="宋体" w:hAnsi="宋体"/>
                <w:color w:val="auto"/>
                <w:sz w:val="24"/>
              </w:rPr>
            </w:pPr>
            <w:r>
              <w:rPr>
                <w:rFonts w:hint="eastAsia" w:ascii="宋体" w:hAnsi="宋体"/>
                <w:color w:val="auto"/>
                <w:sz w:val="24"/>
              </w:rPr>
              <w:t>数量</w:t>
            </w:r>
          </w:p>
        </w:tc>
        <w:tc>
          <w:tcPr>
            <w:tcW w:w="1463" w:type="dxa"/>
            <w:noWrap/>
          </w:tcPr>
          <w:p>
            <w:pPr>
              <w:spacing w:line="360" w:lineRule="auto"/>
              <w:jc w:val="center"/>
              <w:rPr>
                <w:rFonts w:ascii="宋体" w:hAnsi="宋体"/>
                <w:color w:val="auto"/>
                <w:sz w:val="24"/>
              </w:rPr>
            </w:pPr>
            <w:r>
              <w:rPr>
                <w:rFonts w:hint="eastAsia" w:ascii="宋体" w:hAnsi="宋体"/>
                <w:color w:val="auto"/>
                <w:sz w:val="24"/>
              </w:rPr>
              <w:t>交货日期</w:t>
            </w:r>
          </w:p>
        </w:tc>
        <w:tc>
          <w:tcPr>
            <w:tcW w:w="1404" w:type="dxa"/>
            <w:noWrap/>
          </w:tcPr>
          <w:p>
            <w:pPr>
              <w:spacing w:line="360" w:lineRule="auto"/>
              <w:jc w:val="center"/>
              <w:rPr>
                <w:rFonts w:ascii="宋体" w:hAnsi="宋体"/>
                <w:color w:val="auto"/>
                <w:sz w:val="24"/>
              </w:rPr>
            </w:pPr>
            <w:r>
              <w:rPr>
                <w:rFonts w:hint="eastAsia" w:ascii="宋体" w:hAnsi="宋体"/>
                <w:color w:val="auto"/>
                <w:sz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noWrap/>
          </w:tcPr>
          <w:p>
            <w:pPr>
              <w:spacing w:line="360" w:lineRule="auto"/>
              <w:rPr>
                <w:rFonts w:ascii="宋体" w:hAnsi="宋体"/>
                <w:color w:val="auto"/>
                <w:sz w:val="24"/>
              </w:rPr>
            </w:pPr>
          </w:p>
        </w:tc>
        <w:tc>
          <w:tcPr>
            <w:tcW w:w="2299" w:type="dxa"/>
            <w:noWrap/>
          </w:tcPr>
          <w:p>
            <w:pPr>
              <w:spacing w:line="360" w:lineRule="auto"/>
              <w:rPr>
                <w:rFonts w:ascii="宋体" w:hAnsi="宋体"/>
                <w:color w:val="auto"/>
                <w:sz w:val="24"/>
              </w:rPr>
            </w:pPr>
          </w:p>
        </w:tc>
        <w:tc>
          <w:tcPr>
            <w:tcW w:w="1045" w:type="dxa"/>
            <w:noWrap/>
          </w:tcPr>
          <w:p>
            <w:pPr>
              <w:spacing w:line="360" w:lineRule="auto"/>
              <w:rPr>
                <w:rFonts w:ascii="宋体" w:hAnsi="宋体"/>
                <w:color w:val="auto"/>
                <w:sz w:val="24"/>
              </w:rPr>
            </w:pPr>
          </w:p>
        </w:tc>
        <w:tc>
          <w:tcPr>
            <w:tcW w:w="1463" w:type="dxa"/>
            <w:noWrap/>
          </w:tcPr>
          <w:p>
            <w:pPr>
              <w:spacing w:line="360" w:lineRule="auto"/>
              <w:rPr>
                <w:rFonts w:ascii="宋体" w:hAnsi="宋体"/>
                <w:color w:val="auto"/>
                <w:sz w:val="24"/>
              </w:rPr>
            </w:pPr>
          </w:p>
        </w:tc>
        <w:tc>
          <w:tcPr>
            <w:tcW w:w="1404" w:type="dxa"/>
            <w:noWrap/>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noWrap/>
          </w:tcPr>
          <w:p>
            <w:pPr>
              <w:spacing w:line="360" w:lineRule="auto"/>
              <w:rPr>
                <w:rFonts w:ascii="宋体" w:hAnsi="宋体"/>
                <w:color w:val="auto"/>
                <w:sz w:val="24"/>
              </w:rPr>
            </w:pPr>
          </w:p>
        </w:tc>
        <w:tc>
          <w:tcPr>
            <w:tcW w:w="2299" w:type="dxa"/>
            <w:noWrap/>
          </w:tcPr>
          <w:p>
            <w:pPr>
              <w:spacing w:line="360" w:lineRule="auto"/>
              <w:rPr>
                <w:rFonts w:ascii="宋体" w:hAnsi="宋体"/>
                <w:color w:val="auto"/>
                <w:sz w:val="24"/>
              </w:rPr>
            </w:pPr>
          </w:p>
        </w:tc>
        <w:tc>
          <w:tcPr>
            <w:tcW w:w="1045" w:type="dxa"/>
            <w:noWrap/>
          </w:tcPr>
          <w:p>
            <w:pPr>
              <w:spacing w:line="360" w:lineRule="auto"/>
              <w:rPr>
                <w:rFonts w:ascii="宋体" w:hAnsi="宋体"/>
                <w:color w:val="auto"/>
                <w:sz w:val="24"/>
              </w:rPr>
            </w:pPr>
          </w:p>
        </w:tc>
        <w:tc>
          <w:tcPr>
            <w:tcW w:w="1463" w:type="dxa"/>
            <w:noWrap/>
          </w:tcPr>
          <w:p>
            <w:pPr>
              <w:spacing w:line="360" w:lineRule="auto"/>
              <w:rPr>
                <w:rFonts w:ascii="宋体" w:hAnsi="宋体"/>
                <w:color w:val="auto"/>
                <w:sz w:val="24"/>
              </w:rPr>
            </w:pPr>
          </w:p>
        </w:tc>
        <w:tc>
          <w:tcPr>
            <w:tcW w:w="1404" w:type="dxa"/>
            <w:noWrap/>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407" w:type="dxa"/>
            <w:noWrap/>
          </w:tcPr>
          <w:p>
            <w:pPr>
              <w:spacing w:line="360" w:lineRule="auto"/>
              <w:rPr>
                <w:rFonts w:ascii="宋体" w:hAnsi="宋体"/>
                <w:color w:val="auto"/>
                <w:sz w:val="24"/>
              </w:rPr>
            </w:pPr>
          </w:p>
        </w:tc>
        <w:tc>
          <w:tcPr>
            <w:tcW w:w="2299" w:type="dxa"/>
            <w:noWrap/>
          </w:tcPr>
          <w:p>
            <w:pPr>
              <w:spacing w:line="360" w:lineRule="auto"/>
              <w:rPr>
                <w:rFonts w:ascii="宋体" w:hAnsi="宋体"/>
                <w:color w:val="auto"/>
                <w:sz w:val="24"/>
              </w:rPr>
            </w:pPr>
          </w:p>
        </w:tc>
        <w:tc>
          <w:tcPr>
            <w:tcW w:w="1045" w:type="dxa"/>
            <w:noWrap/>
          </w:tcPr>
          <w:p>
            <w:pPr>
              <w:spacing w:line="360" w:lineRule="auto"/>
              <w:rPr>
                <w:rFonts w:ascii="宋体" w:hAnsi="宋体"/>
                <w:color w:val="auto"/>
                <w:sz w:val="24"/>
              </w:rPr>
            </w:pPr>
          </w:p>
        </w:tc>
        <w:tc>
          <w:tcPr>
            <w:tcW w:w="1463" w:type="dxa"/>
            <w:noWrap/>
          </w:tcPr>
          <w:p>
            <w:pPr>
              <w:spacing w:line="360" w:lineRule="auto"/>
              <w:rPr>
                <w:rFonts w:ascii="宋体" w:hAnsi="宋体"/>
                <w:color w:val="auto"/>
                <w:sz w:val="24"/>
              </w:rPr>
            </w:pPr>
          </w:p>
        </w:tc>
        <w:tc>
          <w:tcPr>
            <w:tcW w:w="1404" w:type="dxa"/>
            <w:noWrap/>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noWrap/>
          </w:tcPr>
          <w:p>
            <w:pPr>
              <w:spacing w:line="360" w:lineRule="auto"/>
              <w:rPr>
                <w:rFonts w:ascii="宋体" w:hAnsi="宋体"/>
                <w:color w:val="auto"/>
                <w:sz w:val="24"/>
              </w:rPr>
            </w:pPr>
          </w:p>
        </w:tc>
        <w:tc>
          <w:tcPr>
            <w:tcW w:w="2299" w:type="dxa"/>
            <w:noWrap/>
          </w:tcPr>
          <w:p>
            <w:pPr>
              <w:spacing w:line="360" w:lineRule="auto"/>
              <w:rPr>
                <w:rFonts w:ascii="宋体" w:hAnsi="宋体"/>
                <w:color w:val="auto"/>
                <w:sz w:val="24"/>
              </w:rPr>
            </w:pPr>
          </w:p>
        </w:tc>
        <w:tc>
          <w:tcPr>
            <w:tcW w:w="1045" w:type="dxa"/>
            <w:noWrap/>
          </w:tcPr>
          <w:p>
            <w:pPr>
              <w:spacing w:line="360" w:lineRule="auto"/>
              <w:rPr>
                <w:rFonts w:ascii="宋体" w:hAnsi="宋体"/>
                <w:color w:val="auto"/>
                <w:sz w:val="24"/>
              </w:rPr>
            </w:pPr>
          </w:p>
        </w:tc>
        <w:tc>
          <w:tcPr>
            <w:tcW w:w="1463" w:type="dxa"/>
            <w:noWrap/>
          </w:tcPr>
          <w:p>
            <w:pPr>
              <w:spacing w:line="360" w:lineRule="auto"/>
              <w:rPr>
                <w:rFonts w:ascii="宋体" w:hAnsi="宋体"/>
                <w:color w:val="auto"/>
                <w:sz w:val="24"/>
              </w:rPr>
            </w:pPr>
          </w:p>
        </w:tc>
        <w:tc>
          <w:tcPr>
            <w:tcW w:w="1404" w:type="dxa"/>
            <w:noWrap/>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noWrap/>
          </w:tcPr>
          <w:p>
            <w:pPr>
              <w:spacing w:line="360" w:lineRule="auto"/>
              <w:rPr>
                <w:rFonts w:ascii="宋体" w:hAnsi="宋体"/>
                <w:color w:val="auto"/>
                <w:sz w:val="24"/>
              </w:rPr>
            </w:pPr>
          </w:p>
        </w:tc>
        <w:tc>
          <w:tcPr>
            <w:tcW w:w="2299" w:type="dxa"/>
            <w:noWrap/>
          </w:tcPr>
          <w:p>
            <w:pPr>
              <w:spacing w:line="360" w:lineRule="auto"/>
              <w:rPr>
                <w:rFonts w:ascii="宋体" w:hAnsi="宋体"/>
                <w:color w:val="auto"/>
                <w:sz w:val="24"/>
              </w:rPr>
            </w:pPr>
          </w:p>
        </w:tc>
        <w:tc>
          <w:tcPr>
            <w:tcW w:w="1045" w:type="dxa"/>
            <w:noWrap/>
          </w:tcPr>
          <w:p>
            <w:pPr>
              <w:spacing w:line="360" w:lineRule="auto"/>
              <w:rPr>
                <w:rFonts w:ascii="宋体" w:hAnsi="宋体"/>
                <w:color w:val="auto"/>
                <w:sz w:val="24"/>
              </w:rPr>
            </w:pPr>
          </w:p>
        </w:tc>
        <w:tc>
          <w:tcPr>
            <w:tcW w:w="1463" w:type="dxa"/>
            <w:noWrap/>
          </w:tcPr>
          <w:p>
            <w:pPr>
              <w:spacing w:line="360" w:lineRule="auto"/>
              <w:rPr>
                <w:rFonts w:ascii="宋体" w:hAnsi="宋体"/>
                <w:color w:val="auto"/>
                <w:sz w:val="24"/>
              </w:rPr>
            </w:pPr>
          </w:p>
        </w:tc>
        <w:tc>
          <w:tcPr>
            <w:tcW w:w="1404" w:type="dxa"/>
            <w:noWrap/>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noWrap/>
          </w:tcPr>
          <w:p>
            <w:pPr>
              <w:spacing w:line="360" w:lineRule="auto"/>
              <w:rPr>
                <w:rFonts w:ascii="宋体" w:hAnsi="宋体"/>
                <w:color w:val="auto"/>
                <w:sz w:val="24"/>
              </w:rPr>
            </w:pPr>
          </w:p>
        </w:tc>
        <w:tc>
          <w:tcPr>
            <w:tcW w:w="2299" w:type="dxa"/>
            <w:noWrap/>
          </w:tcPr>
          <w:p>
            <w:pPr>
              <w:spacing w:line="360" w:lineRule="auto"/>
              <w:rPr>
                <w:rFonts w:ascii="宋体" w:hAnsi="宋体"/>
                <w:color w:val="auto"/>
                <w:sz w:val="24"/>
              </w:rPr>
            </w:pPr>
          </w:p>
        </w:tc>
        <w:tc>
          <w:tcPr>
            <w:tcW w:w="1045" w:type="dxa"/>
            <w:noWrap/>
          </w:tcPr>
          <w:p>
            <w:pPr>
              <w:spacing w:line="360" w:lineRule="auto"/>
              <w:rPr>
                <w:rFonts w:ascii="宋体" w:hAnsi="宋体"/>
                <w:color w:val="auto"/>
                <w:sz w:val="24"/>
              </w:rPr>
            </w:pPr>
          </w:p>
        </w:tc>
        <w:tc>
          <w:tcPr>
            <w:tcW w:w="1463" w:type="dxa"/>
            <w:noWrap/>
          </w:tcPr>
          <w:p>
            <w:pPr>
              <w:spacing w:line="360" w:lineRule="auto"/>
              <w:rPr>
                <w:rFonts w:ascii="宋体" w:hAnsi="宋体"/>
                <w:color w:val="auto"/>
                <w:sz w:val="24"/>
              </w:rPr>
            </w:pPr>
          </w:p>
        </w:tc>
        <w:tc>
          <w:tcPr>
            <w:tcW w:w="1404" w:type="dxa"/>
            <w:noWrap/>
          </w:tcPr>
          <w:p>
            <w:pPr>
              <w:spacing w:line="360" w:lineRule="auto"/>
              <w:rPr>
                <w:rFonts w:ascii="宋体" w:hAnsi="宋体"/>
                <w:color w:val="auto"/>
                <w:sz w:val="24"/>
              </w:rPr>
            </w:pPr>
          </w:p>
        </w:tc>
      </w:tr>
    </w:tbl>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 xml:space="preserve">  4. 法人营业执照见附件。</w:t>
      </w:r>
    </w:p>
    <w:p>
      <w:pPr>
        <w:spacing w:line="360" w:lineRule="auto"/>
        <w:rPr>
          <w:rFonts w:ascii="宋体" w:hAnsi="宋体"/>
          <w:color w:val="auto"/>
          <w:sz w:val="24"/>
        </w:rPr>
      </w:pPr>
    </w:p>
    <w:p>
      <w:pPr>
        <w:spacing w:line="360" w:lineRule="auto"/>
        <w:ind w:firstLine="480" w:firstLineChars="200"/>
        <w:rPr>
          <w:rFonts w:ascii="宋体" w:hAnsi="宋体"/>
          <w:color w:val="auto"/>
          <w:sz w:val="24"/>
        </w:rPr>
      </w:pPr>
      <w:r>
        <w:rPr>
          <w:rFonts w:hint="eastAsia" w:ascii="宋体" w:hAnsi="宋体"/>
          <w:color w:val="auto"/>
          <w:sz w:val="24"/>
        </w:rPr>
        <w:t>就我方全部所知，兹证明上述声明是真实、正确的，并已提供了全部现有资料和数据，我方同意根据贵方要求出示文件予以证实。</w:t>
      </w: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 xml:space="preserve">    投标人（全称并加盖公章）：</w:t>
      </w:r>
    </w:p>
    <w:p>
      <w:pPr>
        <w:spacing w:line="360" w:lineRule="auto"/>
        <w:rPr>
          <w:rFonts w:ascii="宋体" w:hAnsi="宋体"/>
          <w:color w:val="auto"/>
          <w:sz w:val="24"/>
          <w:u w:val="single"/>
        </w:rPr>
      </w:pPr>
      <w:r>
        <w:rPr>
          <w:rFonts w:hint="eastAsia" w:ascii="宋体" w:hAnsi="宋体"/>
          <w:color w:val="auto"/>
          <w:sz w:val="24"/>
        </w:rPr>
        <w:t xml:space="preserve">    投标人代表签字：</w:t>
      </w:r>
    </w:p>
    <w:p>
      <w:pPr>
        <w:spacing w:line="360" w:lineRule="auto"/>
        <w:rPr>
          <w:rFonts w:ascii="宋体" w:hAnsi="宋体"/>
          <w:color w:val="auto"/>
          <w:sz w:val="24"/>
        </w:rPr>
      </w:pPr>
      <w:r>
        <w:rPr>
          <w:rFonts w:hint="eastAsia" w:ascii="宋体" w:hAnsi="宋体"/>
          <w:color w:val="auto"/>
          <w:sz w:val="24"/>
        </w:rPr>
        <w:t xml:space="preserve">    日      期：年月  日</w:t>
      </w:r>
    </w:p>
    <w:p>
      <w:pPr>
        <w:spacing w:line="360" w:lineRule="auto"/>
        <w:ind w:firstLine="480" w:firstLineChars="200"/>
        <w:rPr>
          <w:rFonts w:ascii="宋体" w:hAnsi="宋体"/>
          <w:color w:val="auto"/>
          <w:sz w:val="24"/>
          <w:u w:val="single"/>
        </w:rPr>
      </w:pPr>
      <w:r>
        <w:rPr>
          <w:rFonts w:hint="eastAsia" w:ascii="宋体" w:hAnsi="宋体"/>
          <w:color w:val="auto"/>
          <w:sz w:val="24"/>
        </w:rPr>
        <w:t>电      传：</w:t>
      </w:r>
    </w:p>
    <w:p>
      <w:pPr>
        <w:spacing w:line="360" w:lineRule="auto"/>
        <w:ind w:firstLine="480" w:firstLineChars="200"/>
        <w:rPr>
          <w:rFonts w:ascii="宋体" w:hAnsi="宋体"/>
          <w:color w:val="auto"/>
          <w:sz w:val="24"/>
        </w:rPr>
      </w:pPr>
      <w:r>
        <w:rPr>
          <w:rFonts w:hint="eastAsia" w:ascii="宋体" w:hAnsi="宋体"/>
          <w:color w:val="auto"/>
          <w:sz w:val="24"/>
        </w:rPr>
        <w:t>传      真：</w:t>
      </w:r>
    </w:p>
    <w:p>
      <w:pPr>
        <w:spacing w:line="360" w:lineRule="auto"/>
        <w:ind w:firstLine="480" w:firstLineChars="200"/>
        <w:rPr>
          <w:rFonts w:ascii="宋体" w:hAnsi="宋体"/>
          <w:color w:val="auto"/>
          <w:sz w:val="24"/>
        </w:rPr>
      </w:pPr>
      <w:r>
        <w:rPr>
          <w:rFonts w:hint="eastAsia" w:ascii="宋体" w:hAnsi="宋体"/>
          <w:color w:val="auto"/>
          <w:sz w:val="24"/>
        </w:rPr>
        <w:t>电      话：</w:t>
      </w:r>
    </w:p>
    <w:p>
      <w:pPr>
        <w:spacing w:line="360" w:lineRule="auto"/>
        <w:rPr>
          <w:rFonts w:ascii="宋体" w:hAnsi="宋体"/>
          <w:color w:val="auto"/>
          <w:sz w:val="24"/>
        </w:rPr>
      </w:pPr>
    </w:p>
    <w:p>
      <w:pPr>
        <w:spacing w:line="360" w:lineRule="auto"/>
        <w:rPr>
          <w:rFonts w:ascii="宋体" w:hAnsi="宋体"/>
          <w:color w:val="auto"/>
          <w:sz w:val="24"/>
        </w:rPr>
      </w:pPr>
    </w:p>
    <w:p>
      <w:pPr>
        <w:pStyle w:val="84"/>
        <w:spacing w:line="360" w:lineRule="auto"/>
        <w:outlineLvl w:val="9"/>
        <w:rPr>
          <w:rFonts w:hAnsi="宋体"/>
          <w:color w:val="auto"/>
        </w:rPr>
      </w:pPr>
    </w:p>
    <w:p>
      <w:pPr>
        <w:pStyle w:val="84"/>
        <w:spacing w:line="360" w:lineRule="auto"/>
        <w:outlineLvl w:val="9"/>
        <w:rPr>
          <w:rFonts w:hAnsi="宋体"/>
          <w:color w:val="auto"/>
        </w:rPr>
      </w:pPr>
    </w:p>
    <w:p>
      <w:pPr>
        <w:pStyle w:val="84"/>
        <w:spacing w:line="360" w:lineRule="auto"/>
        <w:outlineLvl w:val="9"/>
        <w:rPr>
          <w:rFonts w:hAnsi="宋体"/>
          <w:color w:val="auto"/>
        </w:rPr>
      </w:pPr>
    </w:p>
    <w:p>
      <w:pPr>
        <w:pStyle w:val="84"/>
        <w:spacing w:line="360" w:lineRule="auto"/>
        <w:outlineLvl w:val="9"/>
        <w:rPr>
          <w:rFonts w:hAnsi="宋体"/>
          <w:color w:val="auto"/>
        </w:rPr>
      </w:pPr>
    </w:p>
    <w:p>
      <w:pPr>
        <w:pStyle w:val="84"/>
        <w:spacing w:line="360" w:lineRule="auto"/>
        <w:outlineLvl w:val="9"/>
        <w:rPr>
          <w:rFonts w:hAnsi="宋体"/>
          <w:color w:val="auto"/>
        </w:rPr>
      </w:pPr>
    </w:p>
    <w:p>
      <w:pPr>
        <w:pStyle w:val="84"/>
        <w:spacing w:line="360" w:lineRule="auto"/>
        <w:outlineLvl w:val="9"/>
        <w:rPr>
          <w:rFonts w:hAnsi="宋体"/>
          <w:color w:val="auto"/>
        </w:rPr>
      </w:pPr>
    </w:p>
    <w:p>
      <w:pPr>
        <w:pStyle w:val="84"/>
        <w:spacing w:line="360" w:lineRule="auto"/>
        <w:jc w:val="center"/>
        <w:outlineLvl w:val="9"/>
        <w:rPr>
          <w:rFonts w:hAnsi="宋体"/>
          <w:color w:val="auto"/>
        </w:rPr>
      </w:pPr>
      <w:r>
        <w:rPr>
          <w:rFonts w:hint="eastAsia" w:hAnsi="宋体"/>
          <w:color w:val="auto"/>
        </w:rPr>
        <w:br w:type="page"/>
      </w:r>
      <w:r>
        <w:rPr>
          <w:rFonts w:hint="eastAsia" w:hAnsi="宋体"/>
          <w:b/>
          <w:color w:val="auto"/>
          <w:sz w:val="36"/>
        </w:rPr>
        <w:t>4-3、法定代表人授权书</w:t>
      </w:r>
      <w:r>
        <w:rPr>
          <w:rFonts w:hint="eastAsia" w:hAnsi="宋体"/>
          <w:b/>
          <w:color w:val="auto"/>
          <w:sz w:val="36"/>
        </w:rPr>
        <w:cr/>
      </w:r>
    </w:p>
    <w:p>
      <w:pPr>
        <w:spacing w:line="360" w:lineRule="auto"/>
        <w:rPr>
          <w:rFonts w:ascii="宋体" w:hAnsi="宋体"/>
          <w:color w:val="auto"/>
          <w:sz w:val="24"/>
        </w:rPr>
      </w:pPr>
      <w:r>
        <w:rPr>
          <w:rFonts w:hint="eastAsia" w:ascii="宋体" w:hAnsi="宋体"/>
          <w:color w:val="auto"/>
          <w:sz w:val="24"/>
        </w:rPr>
        <w:t>宁德市恒福招标有限公司：</w:t>
      </w:r>
    </w:p>
    <w:p>
      <w:pPr>
        <w:pStyle w:val="20"/>
        <w:snapToGrid w:val="0"/>
        <w:spacing w:line="360" w:lineRule="auto"/>
        <w:ind w:firstLine="480" w:firstLineChars="200"/>
        <w:jc w:val="left"/>
        <w:rPr>
          <w:rFonts w:hAnsi="宋体"/>
          <w:color w:val="auto"/>
          <w:sz w:val="24"/>
        </w:rPr>
      </w:pPr>
      <w:r>
        <w:rPr>
          <w:rFonts w:hint="eastAsia" w:hAnsi="宋体"/>
          <w:color w:val="auto"/>
          <w:sz w:val="24"/>
          <w:u w:val="single"/>
        </w:rPr>
        <w:t>（</w:t>
      </w:r>
      <w:r>
        <w:rPr>
          <w:rFonts w:hint="eastAsia" w:hAnsi="宋体" w:cs="宋体"/>
          <w:color w:val="auto"/>
          <w:sz w:val="24"/>
          <w:u w:val="single"/>
        </w:rPr>
        <w:t>投标人</w:t>
      </w:r>
      <w:r>
        <w:rPr>
          <w:rFonts w:hint="eastAsia" w:hAnsi="宋体"/>
          <w:color w:val="auto"/>
          <w:sz w:val="24"/>
          <w:u w:val="single"/>
        </w:rPr>
        <w:t>全称）</w:t>
      </w:r>
      <w:r>
        <w:rPr>
          <w:rFonts w:hint="eastAsia" w:hAnsi="宋体"/>
          <w:color w:val="auto"/>
          <w:sz w:val="24"/>
        </w:rPr>
        <w:t>法定代表人 授权</w:t>
      </w:r>
      <w:r>
        <w:rPr>
          <w:rFonts w:hint="eastAsia" w:hAnsi="宋体"/>
          <w:color w:val="auto"/>
          <w:sz w:val="24"/>
          <w:u w:val="single"/>
        </w:rPr>
        <w:t xml:space="preserve">  （投标人代表姓名）</w:t>
      </w:r>
      <w:r>
        <w:rPr>
          <w:rFonts w:hint="eastAsia" w:hAnsi="宋体"/>
          <w:color w:val="auto"/>
          <w:sz w:val="24"/>
        </w:rPr>
        <w:t>为投标人代表，代表本公司参加贵司组织的项目（招标编号）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pStyle w:val="20"/>
        <w:snapToGrid w:val="0"/>
        <w:spacing w:line="360" w:lineRule="auto"/>
        <w:ind w:firstLine="480" w:firstLineChars="200"/>
        <w:jc w:val="left"/>
        <w:rPr>
          <w:rFonts w:hAnsi="宋体"/>
          <w:color w:val="auto"/>
          <w:sz w:val="24"/>
        </w:rPr>
      </w:pPr>
      <w:r>
        <w:rPr>
          <w:rFonts w:hint="eastAsia" w:hAnsi="宋体"/>
          <w:color w:val="auto"/>
          <w:sz w:val="24"/>
        </w:rPr>
        <w:t>本授权书自出具之日起生效。</w:t>
      </w:r>
    </w:p>
    <w:p>
      <w:pPr>
        <w:spacing w:line="360" w:lineRule="auto"/>
        <w:ind w:firstLine="480" w:firstLineChars="200"/>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投标人代表：  性别：身份证号：</w:t>
      </w:r>
    </w:p>
    <w:p>
      <w:pPr>
        <w:spacing w:line="360" w:lineRule="auto"/>
        <w:rPr>
          <w:rFonts w:ascii="宋体" w:hAnsi="宋体"/>
          <w:color w:val="auto"/>
          <w:sz w:val="24"/>
        </w:rPr>
      </w:pPr>
      <w:r>
        <w:rPr>
          <w:rFonts w:hint="eastAsia" w:ascii="宋体" w:hAnsi="宋体"/>
          <w:color w:val="auto"/>
          <w:sz w:val="24"/>
        </w:rPr>
        <w:t>单位：  部门：    职务：</w:t>
      </w:r>
    </w:p>
    <w:p>
      <w:pPr>
        <w:spacing w:line="360" w:lineRule="auto"/>
        <w:rPr>
          <w:rFonts w:ascii="宋体" w:hAnsi="宋体"/>
          <w:color w:val="auto"/>
          <w:sz w:val="24"/>
        </w:rPr>
      </w:pPr>
      <w:r>
        <w:rPr>
          <w:rFonts w:hint="eastAsia" w:ascii="宋体" w:hAnsi="宋体"/>
          <w:color w:val="auto"/>
          <w:sz w:val="24"/>
        </w:rPr>
        <w:t>详细通讯地址：邮政编码: 电话：</w:t>
      </w: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附：法定代表人、被授权人身份证件</w:t>
      </w:r>
    </w:p>
    <w:p>
      <w:pPr>
        <w:spacing w:line="360" w:lineRule="auto"/>
        <w:rPr>
          <w:rFonts w:ascii="宋体" w:hAnsi="宋体"/>
          <w:color w:val="auto"/>
          <w:sz w:val="24"/>
        </w:rPr>
      </w:pPr>
      <w:r>
        <w:rPr>
          <w:rFonts w:ascii="宋体" w:hAnsi="宋体"/>
          <w:color w:val="auto"/>
          <w:sz w:val="24"/>
        </w:rPr>
        <w:pict>
          <v:rect id="Rectangle 759" o:spid="_x0000_s2050" o:spt="1" style="position:absolute;left:0pt;margin-left:0pt;margin-top:7.75pt;height:71.15pt;width:189pt;z-index:251660288;mso-width-relative:page;mso-height-relative:page;" fillcolor="#BBD5F0" filled="t" stroked="t" coordsize="21600,21600" o:gfxdata="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KGYhyXWAAAABwEAAA8AAAAA&#10;AAAAAQAgAAAAIgAAAGRycy9kb3ducmV2LnhtbFBLAQIUABQAAAAIAIdO4kB07rbSTwIAANgEAAAO&#10;AAAAAAAAAAEAIAAAACUBAABkcnMvZTJvRG9jLnhtbFBLBQYAAAAABgAGAFkBAADmBQAAAAA=&#10;">
            <v:path/>
            <v:fill type="gradient" on="t" color2="#9CBEE0" focus="100%" focussize="0f,0f">
              <o:fill type="gradientUnscaled" v:ext="backwardCompatible"/>
            </v:fill>
            <v:stroke weight="1.25pt" color="#739CC3"/>
            <v:imagedata o:title=""/>
            <o:lock v:ext="edit"/>
            <v:textbox>
              <w:txbxContent>
                <w:p>
                  <w:pPr>
                    <w:rPr>
                      <w:sz w:val="24"/>
                      <w:szCs w:val="24"/>
                    </w:rPr>
                  </w:pPr>
                  <w:r>
                    <w:rPr>
                      <w:rFonts w:hint="eastAsia"/>
                      <w:sz w:val="24"/>
                      <w:szCs w:val="24"/>
                    </w:rPr>
                    <w:t>法定代表人身份证复印件（正反两面、加盖公章、注明“与原件一致“）”</w:t>
                  </w:r>
                </w:p>
              </w:txbxContent>
            </v:textbox>
          </v:rect>
        </w:pict>
      </w:r>
      <w:r>
        <w:rPr>
          <w:rFonts w:ascii="宋体" w:hAnsi="宋体"/>
          <w:color w:val="auto"/>
          <w:sz w:val="24"/>
        </w:rPr>
        <w:pict>
          <v:rect id="Rectangle 760" o:spid="_x0000_s2053" o:spt="1" style="position:absolute;left:0pt;margin-left:216pt;margin-top:8.7pt;height:71.15pt;width:189pt;z-index:251661312;mso-width-relative:page;mso-height-relative:page;" fillcolor="#BBD5F0" filled="t" stroked="t" coordsize="21600,21600" o:gfxdata="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ze0wHZAAAACgEAAA8AAAAA&#10;AAAAAQAgAAAAIgAAAGRycy9kb3ducmV2LnhtbFBLAQIUABQAAAAIAIdO4kC2mOeATAIAANgEAAAO&#10;AAAAAAAAAAEAIAAAACgBAABkcnMvZTJvRG9jLnhtbFBLBQYAAAAABgAGAFkBAADmBQAAAAA=&#10;">
            <v:path/>
            <v:fill type="gradient" on="t" color2="#9CBEE0" focus="100%" focussize="0f,0f">
              <o:fill type="gradientUnscaled" v:ext="backwardCompatible"/>
            </v:fill>
            <v:stroke weight="1.25pt" color="#739CC3"/>
            <v:imagedata o:title=""/>
            <o:lock v:ext="edit"/>
            <v:textbox>
              <w:txbxContent>
                <w:p>
                  <w:pPr>
                    <w:rPr>
                      <w:sz w:val="24"/>
                      <w:szCs w:val="24"/>
                    </w:rPr>
                  </w:pPr>
                  <w:r>
                    <w:rPr>
                      <w:rFonts w:hint="eastAsia" w:ascii="宋体" w:hAnsi="宋体"/>
                      <w:sz w:val="24"/>
                    </w:rPr>
                    <w:t>被授</w:t>
                  </w:r>
                  <w:r>
                    <w:rPr>
                      <w:rFonts w:hint="eastAsia" w:ascii="宋体" w:hAnsi="宋体"/>
                      <w:sz w:val="24"/>
                      <w:szCs w:val="24"/>
                    </w:rPr>
                    <w:t>权人</w:t>
                  </w:r>
                  <w:r>
                    <w:rPr>
                      <w:rFonts w:hint="eastAsia"/>
                      <w:sz w:val="24"/>
                      <w:szCs w:val="24"/>
                    </w:rPr>
                    <w:t>身份证复印件（正反两面、加盖公章、注明“与原件一致“）”</w:t>
                  </w:r>
                </w:p>
              </w:txbxContent>
            </v:textbox>
          </v:rect>
        </w:pict>
      </w:r>
      <w:r>
        <w:rPr>
          <w:rFonts w:ascii="宋体" w:hAnsi="宋体"/>
          <w:color w:val="auto"/>
          <w:sz w:val="24"/>
        </w:rPr>
        <w:pict>
          <v:group id="Group 757" o:spid="_x0000_s2051" o:spt="203" style="height:54.6pt;width:180pt;" coordsize="0,203">
            <o:lock v:ext="edit" aspectratio="t"/>
            <v:rect id="Picture 758" o:spid="_x0000_s2052" o:spt="1" style="position:absolute;left:0;top:0;height:921;width:300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path/>
              <v:fill on="f" focussize="0,0"/>
              <v:stroke on="f"/>
              <v:imagedata o:title=""/>
              <o:lock v:ext="edit" text="t" aspectratio="t"/>
            </v:rect>
            <w10:wrap type="none"/>
            <w10:anchorlock/>
          </v:group>
        </w:pict>
      </w:r>
    </w:p>
    <w:p>
      <w:pPr>
        <w:spacing w:line="360" w:lineRule="auto"/>
        <w:ind w:firstLine="4080" w:firstLineChars="1700"/>
        <w:rPr>
          <w:rFonts w:ascii="宋体" w:hAnsi="宋体"/>
          <w:color w:val="auto"/>
          <w:sz w:val="24"/>
        </w:rPr>
      </w:pPr>
    </w:p>
    <w:p>
      <w:pPr>
        <w:spacing w:line="360" w:lineRule="auto"/>
        <w:ind w:firstLine="4080" w:firstLineChars="1700"/>
        <w:rPr>
          <w:rFonts w:ascii="宋体" w:hAnsi="宋体"/>
          <w:color w:val="auto"/>
          <w:sz w:val="24"/>
        </w:rPr>
      </w:pPr>
    </w:p>
    <w:p>
      <w:pPr>
        <w:spacing w:line="360" w:lineRule="auto"/>
        <w:ind w:firstLine="4080" w:firstLineChars="1700"/>
        <w:rPr>
          <w:rFonts w:ascii="宋体" w:hAnsi="宋体"/>
          <w:color w:val="auto"/>
          <w:sz w:val="24"/>
        </w:rPr>
      </w:pPr>
      <w:r>
        <w:rPr>
          <w:rFonts w:hint="eastAsia" w:ascii="宋体" w:hAnsi="宋体"/>
          <w:color w:val="auto"/>
          <w:sz w:val="24"/>
        </w:rPr>
        <w:t>授权方</w:t>
      </w:r>
    </w:p>
    <w:p>
      <w:pPr>
        <w:spacing w:line="360" w:lineRule="auto"/>
        <w:ind w:firstLine="3960" w:firstLineChars="1650"/>
        <w:rPr>
          <w:rFonts w:ascii="宋体" w:hAnsi="宋体"/>
          <w:color w:val="auto"/>
          <w:sz w:val="24"/>
        </w:rPr>
      </w:pPr>
      <w:r>
        <w:rPr>
          <w:rFonts w:hint="eastAsia" w:ascii="宋体" w:hAnsi="宋体"/>
          <w:color w:val="auto"/>
          <w:sz w:val="24"/>
        </w:rPr>
        <w:t>投标人（全称并加盖公章）：</w:t>
      </w:r>
    </w:p>
    <w:p>
      <w:pPr>
        <w:spacing w:line="360" w:lineRule="auto"/>
        <w:rPr>
          <w:rFonts w:ascii="宋体" w:hAnsi="宋体"/>
          <w:color w:val="auto"/>
          <w:sz w:val="24"/>
        </w:rPr>
      </w:pPr>
      <w:r>
        <w:rPr>
          <w:rFonts w:hint="eastAsia" w:ascii="宋体" w:hAnsi="宋体"/>
          <w:color w:val="auto"/>
          <w:sz w:val="24"/>
        </w:rPr>
        <w:t xml:space="preserve">                                 法定代表人签字或盖章：</w:t>
      </w:r>
    </w:p>
    <w:p>
      <w:pPr>
        <w:spacing w:line="360" w:lineRule="auto"/>
        <w:ind w:firstLine="3960" w:firstLineChars="1650"/>
        <w:rPr>
          <w:rFonts w:ascii="宋体" w:hAnsi="宋体"/>
          <w:color w:val="auto"/>
          <w:sz w:val="24"/>
        </w:rPr>
      </w:pPr>
      <w:r>
        <w:rPr>
          <w:rFonts w:hint="eastAsia" w:ascii="宋体" w:hAnsi="宋体"/>
          <w:color w:val="auto"/>
          <w:sz w:val="24"/>
        </w:rPr>
        <w:t>日     期：</w:t>
      </w:r>
    </w:p>
    <w:p>
      <w:pPr>
        <w:spacing w:line="360" w:lineRule="auto"/>
        <w:rPr>
          <w:rFonts w:ascii="宋体" w:hAnsi="宋体"/>
          <w:color w:val="auto"/>
          <w:sz w:val="24"/>
        </w:rPr>
      </w:pPr>
    </w:p>
    <w:p>
      <w:pPr>
        <w:spacing w:line="360" w:lineRule="auto"/>
        <w:ind w:firstLine="3840" w:firstLineChars="1600"/>
        <w:rPr>
          <w:rFonts w:ascii="宋体" w:hAnsi="宋体"/>
          <w:color w:val="auto"/>
          <w:sz w:val="24"/>
        </w:rPr>
      </w:pPr>
      <w:r>
        <w:rPr>
          <w:rFonts w:hint="eastAsia" w:ascii="宋体" w:hAnsi="宋体"/>
          <w:color w:val="auto"/>
          <w:sz w:val="24"/>
        </w:rPr>
        <w:t xml:space="preserve"> 接受授权方</w:t>
      </w:r>
    </w:p>
    <w:p>
      <w:pPr>
        <w:spacing w:line="360" w:lineRule="auto"/>
        <w:ind w:firstLine="3960" w:firstLineChars="1650"/>
        <w:rPr>
          <w:rFonts w:ascii="宋体" w:hAnsi="宋体"/>
          <w:color w:val="auto"/>
          <w:sz w:val="24"/>
        </w:rPr>
      </w:pPr>
      <w:r>
        <w:rPr>
          <w:rFonts w:hint="eastAsia" w:ascii="宋体" w:hAnsi="宋体"/>
          <w:color w:val="auto"/>
          <w:sz w:val="24"/>
        </w:rPr>
        <w:t>投标人代表签字：</w:t>
      </w:r>
    </w:p>
    <w:p>
      <w:pPr>
        <w:spacing w:line="360" w:lineRule="auto"/>
        <w:ind w:firstLine="3960" w:firstLineChars="1650"/>
        <w:rPr>
          <w:rFonts w:ascii="宋体" w:hAnsi="宋体"/>
          <w:color w:val="auto"/>
          <w:sz w:val="24"/>
        </w:rPr>
      </w:pPr>
      <w:r>
        <w:rPr>
          <w:rFonts w:hint="eastAsia" w:ascii="宋体" w:hAnsi="宋体"/>
          <w:color w:val="auto"/>
          <w:sz w:val="24"/>
        </w:rPr>
        <w:t>日     期：</w:t>
      </w:r>
    </w:p>
    <w:p>
      <w:pPr>
        <w:pStyle w:val="84"/>
        <w:spacing w:line="360" w:lineRule="auto"/>
        <w:jc w:val="center"/>
        <w:outlineLvl w:val="9"/>
        <w:rPr>
          <w:rFonts w:hAnsi="宋体"/>
          <w:color w:val="auto"/>
          <w:sz w:val="36"/>
        </w:rPr>
      </w:pPr>
      <w:r>
        <w:rPr>
          <w:rFonts w:hint="eastAsia" w:hAnsi="宋体"/>
          <w:color w:val="auto"/>
        </w:rPr>
        <w:br w:type="page"/>
      </w:r>
      <w:r>
        <w:rPr>
          <w:rFonts w:hint="eastAsia" w:hAnsi="宋体"/>
          <w:b/>
          <w:color w:val="auto"/>
          <w:sz w:val="36"/>
        </w:rPr>
        <w:t>4-4、法人营业执照</w:t>
      </w: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sz w:val="24"/>
        </w:rPr>
      </w:pPr>
      <w:r>
        <w:rPr>
          <w:rFonts w:hint="eastAsia" w:ascii="宋体" w:hAnsi="宋体"/>
          <w:color w:val="auto"/>
          <w:sz w:val="24"/>
        </w:rPr>
        <w:t>宁德市恒福招标有限公司：</w:t>
      </w:r>
    </w:p>
    <w:p>
      <w:pPr>
        <w:spacing w:line="360" w:lineRule="auto"/>
        <w:rPr>
          <w:rFonts w:ascii="宋体" w:hAnsi="宋体"/>
          <w:color w:val="auto"/>
          <w:sz w:val="24"/>
        </w:rPr>
      </w:pPr>
    </w:p>
    <w:p>
      <w:pPr>
        <w:spacing w:line="360" w:lineRule="auto"/>
        <w:ind w:firstLine="480" w:firstLineChars="200"/>
        <w:rPr>
          <w:rFonts w:ascii="宋体" w:hAnsi="宋体"/>
          <w:color w:val="auto"/>
          <w:sz w:val="24"/>
        </w:rPr>
      </w:pPr>
      <w:r>
        <w:rPr>
          <w:rFonts w:hint="eastAsia" w:ascii="宋体" w:hAnsi="宋体"/>
          <w:color w:val="auto"/>
          <w:sz w:val="24"/>
        </w:rPr>
        <w:t>现附上由（签发机关名称）签发的我方法人营业执照副本复印件，该证件真实有效。</w:t>
      </w:r>
    </w:p>
    <w:p>
      <w:pPr>
        <w:spacing w:line="360" w:lineRule="auto"/>
        <w:ind w:firstLine="480" w:firstLineChars="200"/>
        <w:rPr>
          <w:rFonts w:ascii="宋体" w:hAnsi="宋体"/>
          <w:color w:val="auto"/>
          <w:sz w:val="24"/>
        </w:rPr>
      </w:pPr>
    </w:p>
    <w:p>
      <w:pPr>
        <w:spacing w:line="360" w:lineRule="auto"/>
        <w:rPr>
          <w:rFonts w:ascii="宋体" w:hAnsi="宋体"/>
          <w:color w:val="auto"/>
          <w:sz w:val="24"/>
        </w:rPr>
      </w:pPr>
    </w:p>
    <w:p>
      <w:pPr>
        <w:pStyle w:val="16"/>
        <w:spacing w:line="360" w:lineRule="auto"/>
        <w:ind w:firstLine="480" w:firstLineChars="200"/>
        <w:rPr>
          <w:rFonts w:ascii="宋体" w:hAnsi="宋体"/>
          <w:color w:val="auto"/>
        </w:rPr>
      </w:pPr>
      <w:r>
        <w:rPr>
          <w:rFonts w:hint="eastAsia" w:ascii="宋体" w:hAnsi="宋体"/>
          <w:color w:val="auto"/>
        </w:rPr>
        <w:t>（注：法人营业执照提供复印件，由企业加盖公章并注明“与原件一致”。）</w:t>
      </w: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 xml:space="preserve">                         投标人（全称并加盖公章）：</w:t>
      </w:r>
    </w:p>
    <w:p>
      <w:pPr>
        <w:spacing w:line="360" w:lineRule="auto"/>
        <w:rPr>
          <w:rFonts w:ascii="宋体" w:hAnsi="宋体"/>
          <w:color w:val="auto"/>
          <w:sz w:val="24"/>
        </w:rPr>
      </w:pPr>
      <w:r>
        <w:rPr>
          <w:rFonts w:hint="eastAsia" w:ascii="宋体" w:hAnsi="宋体"/>
          <w:color w:val="auto"/>
          <w:sz w:val="24"/>
        </w:rPr>
        <w:t xml:space="preserve">                         投标人代表签字：</w:t>
      </w:r>
    </w:p>
    <w:p>
      <w:pPr>
        <w:spacing w:line="360" w:lineRule="auto"/>
        <w:rPr>
          <w:rFonts w:ascii="宋体" w:hAnsi="宋体"/>
          <w:color w:val="auto"/>
          <w:sz w:val="24"/>
        </w:rPr>
      </w:pPr>
      <w:r>
        <w:rPr>
          <w:rFonts w:hint="eastAsia" w:ascii="宋体" w:hAnsi="宋体"/>
          <w:color w:val="auto"/>
          <w:sz w:val="24"/>
        </w:rPr>
        <w:t xml:space="preserve">                         日      期：</w:t>
      </w: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pStyle w:val="193"/>
        <w:spacing w:line="360" w:lineRule="auto"/>
        <w:rPr>
          <w:color w:val="auto"/>
        </w:rPr>
      </w:pPr>
      <w:r>
        <w:rPr>
          <w:color w:val="auto"/>
          <w:lang w:val="en-US"/>
        </w:rPr>
        <w:br w:type="page"/>
      </w:r>
    </w:p>
    <w:p>
      <w:pPr>
        <w:pStyle w:val="193"/>
        <w:spacing w:line="360" w:lineRule="auto"/>
        <w:rPr>
          <w:color w:val="auto"/>
          <w:sz w:val="36"/>
          <w:szCs w:val="36"/>
        </w:rPr>
      </w:pPr>
      <w:r>
        <w:rPr>
          <w:rFonts w:hint="eastAsia"/>
          <w:color w:val="auto"/>
          <w:sz w:val="36"/>
          <w:szCs w:val="36"/>
          <w:lang w:val="en-US"/>
        </w:rPr>
        <w:t>4</w:t>
      </w:r>
      <w:r>
        <w:rPr>
          <w:rFonts w:hint="eastAsia"/>
          <w:color w:val="auto"/>
          <w:sz w:val="36"/>
          <w:szCs w:val="36"/>
        </w:rPr>
        <w:t>-5、行贿犯罪档案查询结果告知函</w:t>
      </w:r>
    </w:p>
    <w:p>
      <w:pPr>
        <w:pStyle w:val="193"/>
        <w:spacing w:line="360" w:lineRule="auto"/>
        <w:rPr>
          <w:color w:val="auto"/>
          <w:sz w:val="36"/>
          <w:szCs w:val="36"/>
        </w:rPr>
      </w:pPr>
    </w:p>
    <w:p>
      <w:pPr>
        <w:spacing w:line="360" w:lineRule="auto"/>
        <w:rPr>
          <w:rFonts w:ascii="宋体" w:hAnsi="宋体"/>
          <w:color w:val="auto"/>
        </w:rPr>
      </w:pPr>
      <w:r>
        <w:rPr>
          <w:rFonts w:ascii="宋体" w:hAnsi="宋体"/>
          <w:color w:val="auto"/>
        </w:rPr>
        <w:br w:type="page"/>
      </w:r>
    </w:p>
    <w:p>
      <w:pPr>
        <w:pStyle w:val="193"/>
        <w:spacing w:line="360" w:lineRule="auto"/>
        <w:ind w:firstLine="723"/>
        <w:rPr>
          <w:color w:val="auto"/>
        </w:rPr>
      </w:pPr>
    </w:p>
    <w:p>
      <w:pPr>
        <w:pStyle w:val="193"/>
        <w:spacing w:line="360" w:lineRule="auto"/>
        <w:ind w:firstLine="723"/>
        <w:rPr>
          <w:color w:val="auto"/>
          <w:sz w:val="36"/>
          <w:szCs w:val="36"/>
        </w:rPr>
      </w:pPr>
      <w:r>
        <w:rPr>
          <w:rFonts w:hint="eastAsia"/>
          <w:color w:val="auto"/>
          <w:sz w:val="36"/>
          <w:szCs w:val="36"/>
          <w:lang w:val="en-US"/>
        </w:rPr>
        <w:t>4</w:t>
      </w:r>
      <w:r>
        <w:rPr>
          <w:rFonts w:hint="eastAsia"/>
          <w:color w:val="auto"/>
          <w:sz w:val="36"/>
          <w:szCs w:val="36"/>
        </w:rPr>
        <w:t>-6、投标人</w:t>
      </w:r>
      <w:r>
        <w:rPr>
          <w:color w:val="auto"/>
          <w:sz w:val="36"/>
          <w:szCs w:val="36"/>
        </w:rPr>
        <w:t>提供财务状况报告，依法缴纳税收和社会保障资金的相关材料</w:t>
      </w:r>
    </w:p>
    <w:p>
      <w:pPr>
        <w:pStyle w:val="193"/>
        <w:spacing w:line="360" w:lineRule="auto"/>
        <w:jc w:val="both"/>
        <w:rPr>
          <w:color w:val="auto"/>
        </w:rPr>
      </w:pPr>
      <w:r>
        <w:rPr>
          <w:color w:val="auto"/>
          <w:kern w:val="2"/>
        </w:rPr>
        <w:br w:type="page"/>
      </w:r>
    </w:p>
    <w:p>
      <w:pPr>
        <w:pStyle w:val="193"/>
        <w:spacing w:line="360" w:lineRule="auto"/>
        <w:ind w:firstLine="723"/>
        <w:rPr>
          <w:color w:val="auto"/>
          <w:sz w:val="36"/>
          <w:szCs w:val="36"/>
        </w:rPr>
      </w:pPr>
      <w:r>
        <w:rPr>
          <w:rFonts w:hint="eastAsia"/>
          <w:color w:val="auto"/>
          <w:sz w:val="36"/>
          <w:szCs w:val="36"/>
          <w:lang w:val="en-US"/>
        </w:rPr>
        <w:t>4</w:t>
      </w:r>
      <w:r>
        <w:rPr>
          <w:rFonts w:hint="eastAsia"/>
          <w:color w:val="auto"/>
          <w:sz w:val="36"/>
          <w:szCs w:val="36"/>
        </w:rPr>
        <w:t>-7、投标人需提供具备履行合同所必需设备和专业技术能力的证明材料</w:t>
      </w:r>
    </w:p>
    <w:p>
      <w:pPr>
        <w:pStyle w:val="193"/>
        <w:spacing w:line="360" w:lineRule="auto"/>
        <w:ind w:firstLine="723"/>
        <w:rPr>
          <w:color w:val="auto"/>
          <w:sz w:val="36"/>
          <w:szCs w:val="36"/>
        </w:rPr>
      </w:pPr>
    </w:p>
    <w:p>
      <w:pPr>
        <w:pStyle w:val="193"/>
        <w:spacing w:line="360" w:lineRule="auto"/>
        <w:jc w:val="left"/>
        <w:rPr>
          <w:bCs/>
          <w:color w:val="auto"/>
          <w:sz w:val="24"/>
          <w:lang w:val="en-US"/>
        </w:rPr>
      </w:pPr>
    </w:p>
    <w:p>
      <w:pPr>
        <w:pStyle w:val="193"/>
        <w:spacing w:line="360" w:lineRule="auto"/>
        <w:ind w:firstLine="480"/>
        <w:jc w:val="left"/>
        <w:rPr>
          <w:bCs/>
          <w:color w:val="auto"/>
          <w:sz w:val="24"/>
        </w:rPr>
      </w:pPr>
    </w:p>
    <w:p>
      <w:pPr>
        <w:pStyle w:val="193"/>
        <w:spacing w:line="360" w:lineRule="auto"/>
        <w:ind w:firstLine="480"/>
        <w:rPr>
          <w:color w:val="auto"/>
        </w:rPr>
      </w:pPr>
      <w:r>
        <w:rPr>
          <w:color w:val="auto"/>
          <w:szCs w:val="21"/>
          <w:u w:val="dotted"/>
        </w:rPr>
        <w:br w:type="page"/>
      </w:r>
    </w:p>
    <w:p>
      <w:pPr>
        <w:pStyle w:val="193"/>
        <w:spacing w:line="360" w:lineRule="auto"/>
        <w:ind w:firstLine="480"/>
        <w:rPr>
          <w:color w:val="auto"/>
        </w:rPr>
      </w:pPr>
      <w:r>
        <w:rPr>
          <w:rFonts w:hint="eastAsia"/>
          <w:color w:val="auto"/>
          <w:lang w:val="en-US"/>
        </w:rPr>
        <w:t>4</w:t>
      </w:r>
      <w:r>
        <w:rPr>
          <w:rFonts w:hint="eastAsia"/>
          <w:color w:val="auto"/>
        </w:rPr>
        <w:t>-8、近三年无重大违法记录承诺书</w:t>
      </w: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项目名称：</w:t>
      </w:r>
    </w:p>
    <w:p>
      <w:pPr>
        <w:spacing w:line="360" w:lineRule="auto"/>
        <w:rPr>
          <w:rFonts w:ascii="宋体" w:hAnsi="宋体"/>
          <w:color w:val="auto"/>
          <w:sz w:val="24"/>
          <w:u w:val="single"/>
        </w:rPr>
      </w:pPr>
      <w:r>
        <w:rPr>
          <w:rFonts w:hint="eastAsia" w:ascii="宋体" w:hAnsi="宋体"/>
          <w:color w:val="auto"/>
          <w:sz w:val="24"/>
        </w:rPr>
        <w:t>招标编号：</w:t>
      </w:r>
    </w:p>
    <w:p>
      <w:pPr>
        <w:spacing w:line="360" w:lineRule="auto"/>
        <w:rPr>
          <w:rFonts w:ascii="宋体" w:hAnsi="宋体"/>
          <w:bCs/>
          <w:color w:val="auto"/>
          <w:sz w:val="28"/>
          <w:szCs w:val="28"/>
        </w:rPr>
      </w:pPr>
    </w:p>
    <w:p>
      <w:pPr>
        <w:spacing w:line="360" w:lineRule="auto"/>
        <w:rPr>
          <w:rFonts w:ascii="宋体" w:hAnsi="宋体"/>
          <w:color w:val="auto"/>
          <w:sz w:val="24"/>
        </w:rPr>
      </w:pPr>
      <w:r>
        <w:rPr>
          <w:rFonts w:hint="eastAsia" w:ascii="宋体" w:hAnsi="宋体"/>
          <w:color w:val="auto"/>
          <w:sz w:val="24"/>
        </w:rPr>
        <w:t>致：宁德市恒福招标有限公司</w:t>
      </w:r>
    </w:p>
    <w:p>
      <w:pPr>
        <w:spacing w:line="360" w:lineRule="auto"/>
        <w:ind w:firstLine="480" w:firstLineChars="200"/>
        <w:rPr>
          <w:rFonts w:ascii="宋体" w:hAnsi="宋体"/>
          <w:color w:val="auto"/>
          <w:sz w:val="24"/>
        </w:rPr>
      </w:pPr>
      <w:r>
        <w:rPr>
          <w:rFonts w:hint="eastAsia" w:ascii="宋体" w:hAnsi="宋体"/>
          <w:color w:val="auto"/>
          <w:sz w:val="24"/>
        </w:rPr>
        <w:t>根据中华人民共和国国务院第658号文件的规定，特作如下声明：</w:t>
      </w:r>
    </w:p>
    <w:p>
      <w:pPr>
        <w:spacing w:line="360" w:lineRule="auto"/>
        <w:ind w:firstLine="480" w:firstLineChars="200"/>
        <w:rPr>
          <w:rFonts w:ascii="宋体" w:hAnsi="宋体"/>
          <w:color w:val="auto"/>
          <w:sz w:val="24"/>
        </w:rPr>
      </w:pPr>
      <w:r>
        <w:rPr>
          <w:rFonts w:hint="eastAsia" w:ascii="宋体" w:hAnsi="宋体"/>
          <w:color w:val="auto"/>
          <w:sz w:val="24"/>
        </w:rPr>
        <w:t>一、我方在投标前3年内在经营活动中没有重大违法记录。</w:t>
      </w:r>
    </w:p>
    <w:p>
      <w:pPr>
        <w:snapToGrid w:val="0"/>
        <w:spacing w:line="360" w:lineRule="auto"/>
        <w:ind w:firstLine="480" w:firstLineChars="200"/>
        <w:rPr>
          <w:rFonts w:ascii="宋体" w:hAnsi="宋体"/>
          <w:color w:val="auto"/>
          <w:sz w:val="24"/>
        </w:rPr>
      </w:pPr>
      <w:r>
        <w:rPr>
          <w:rFonts w:hint="eastAsia" w:ascii="宋体" w:hAnsi="宋体"/>
          <w:color w:val="auto"/>
          <w:sz w:val="24"/>
        </w:rPr>
        <w:t>二、我方若被采购人确定为中标人，同意并接受各单位或个人的监督审查。</w:t>
      </w:r>
    </w:p>
    <w:p>
      <w:pPr>
        <w:snapToGrid w:val="0"/>
        <w:spacing w:line="360" w:lineRule="auto"/>
        <w:ind w:firstLine="480" w:firstLineChars="200"/>
        <w:rPr>
          <w:rFonts w:ascii="宋体" w:hAnsi="宋体"/>
          <w:color w:val="auto"/>
          <w:sz w:val="24"/>
        </w:rPr>
      </w:pPr>
      <w:r>
        <w:rPr>
          <w:rFonts w:hint="eastAsia" w:ascii="宋体" w:hAnsi="宋体"/>
          <w:color w:val="auto"/>
          <w:sz w:val="24"/>
        </w:rPr>
        <w:t>三、经查实我方若有虚假声明，同意招标采购单位对其投标保证金不予退还；并自觉接受政府采购管理部门的处罚，因在采购活动中出现违反本声明行为的给其他当事人造成经济损失的，按规定予以赔偿。如投标保证金不能弥补我方对采购人造成的损失，我方同意另行支付相应的赔偿。</w:t>
      </w:r>
    </w:p>
    <w:p>
      <w:pPr>
        <w:snapToGrid w:val="0"/>
        <w:spacing w:line="360" w:lineRule="auto"/>
        <w:ind w:firstLine="480" w:firstLineChars="200"/>
        <w:rPr>
          <w:rFonts w:ascii="宋体" w:hAnsi="宋体"/>
          <w:color w:val="auto"/>
          <w:sz w:val="24"/>
        </w:rPr>
      </w:pPr>
      <w:r>
        <w:rPr>
          <w:rFonts w:hint="eastAsia" w:ascii="宋体" w:hAnsi="宋体"/>
          <w:color w:val="auto"/>
          <w:sz w:val="24"/>
        </w:rPr>
        <w:t>四、我方自愿将本声明作为投标文件的组成内容。</w:t>
      </w:r>
    </w:p>
    <w:p>
      <w:pPr>
        <w:snapToGrid w:val="0"/>
        <w:spacing w:line="360" w:lineRule="auto"/>
        <w:ind w:firstLine="480" w:firstLineChars="200"/>
        <w:rPr>
          <w:rFonts w:ascii="宋体" w:hAnsi="宋体"/>
          <w:color w:val="auto"/>
          <w:sz w:val="24"/>
        </w:rPr>
      </w:pPr>
      <w:r>
        <w:rPr>
          <w:rFonts w:hint="eastAsia" w:ascii="宋体" w:hAnsi="宋体"/>
          <w:color w:val="auto"/>
          <w:sz w:val="24"/>
        </w:rPr>
        <w:t>五、本声明自签署之日起生效。</w:t>
      </w:r>
    </w:p>
    <w:p>
      <w:pPr>
        <w:snapToGrid w:val="0"/>
        <w:spacing w:line="360" w:lineRule="auto"/>
        <w:ind w:firstLine="480" w:firstLineChars="200"/>
        <w:rPr>
          <w:rFonts w:ascii="宋体" w:hAnsi="宋体"/>
          <w:color w:val="auto"/>
          <w:sz w:val="24"/>
        </w:rPr>
      </w:pPr>
    </w:p>
    <w:p>
      <w:pPr>
        <w:snapToGrid w:val="0"/>
        <w:spacing w:line="360" w:lineRule="auto"/>
        <w:ind w:firstLine="480" w:firstLineChars="200"/>
        <w:rPr>
          <w:rFonts w:ascii="宋体" w:hAnsi="宋体"/>
          <w:color w:val="auto"/>
          <w:sz w:val="24"/>
        </w:rPr>
      </w:pPr>
      <w:r>
        <w:rPr>
          <w:rFonts w:hint="eastAsia" w:ascii="宋体" w:hAnsi="宋体"/>
          <w:color w:val="auto"/>
          <w:sz w:val="24"/>
        </w:rPr>
        <w:t>此声明是由（投标人全称）以</w:t>
      </w:r>
      <w:r>
        <w:rPr>
          <w:rFonts w:hint="eastAsia" w:ascii="宋体" w:hAnsi="宋体"/>
          <w:color w:val="auto"/>
          <w:sz w:val="24"/>
          <w:u w:val="single"/>
        </w:rPr>
        <w:t xml:space="preserve">（法定代表人或其委托代理人）         </w:t>
      </w:r>
      <w:r>
        <w:rPr>
          <w:rFonts w:hint="eastAsia" w:ascii="宋体" w:hAnsi="宋体"/>
          <w:color w:val="auto"/>
          <w:sz w:val="24"/>
        </w:rPr>
        <w:t>为全权代表的身份提交的。</w:t>
      </w:r>
    </w:p>
    <w:p>
      <w:pPr>
        <w:snapToGrid w:val="0"/>
        <w:spacing w:line="360" w:lineRule="auto"/>
        <w:ind w:firstLine="480" w:firstLineChars="200"/>
        <w:rPr>
          <w:rFonts w:ascii="宋体" w:hAnsi="宋体"/>
          <w:color w:val="auto"/>
          <w:sz w:val="24"/>
        </w:rPr>
      </w:pPr>
    </w:p>
    <w:p>
      <w:pPr>
        <w:snapToGrid w:val="0"/>
        <w:spacing w:line="360" w:lineRule="auto"/>
        <w:ind w:firstLine="480" w:firstLineChars="200"/>
        <w:rPr>
          <w:rFonts w:ascii="宋体" w:hAnsi="宋体"/>
          <w:color w:val="auto"/>
          <w:sz w:val="24"/>
        </w:rPr>
      </w:pPr>
    </w:p>
    <w:p>
      <w:pPr>
        <w:snapToGrid w:val="0"/>
        <w:spacing w:line="360" w:lineRule="auto"/>
        <w:ind w:firstLine="480" w:firstLineChars="200"/>
        <w:rPr>
          <w:rFonts w:ascii="宋体" w:hAnsi="宋体"/>
          <w:color w:val="auto"/>
          <w:sz w:val="24"/>
        </w:rPr>
      </w:pPr>
    </w:p>
    <w:p>
      <w:pPr>
        <w:snapToGrid w:val="0"/>
        <w:spacing w:line="360" w:lineRule="auto"/>
        <w:ind w:firstLine="480" w:firstLineChars="200"/>
        <w:rPr>
          <w:rFonts w:ascii="宋体" w:hAnsi="宋体"/>
          <w:color w:val="auto"/>
          <w:sz w:val="24"/>
        </w:rPr>
      </w:pPr>
    </w:p>
    <w:p>
      <w:pPr>
        <w:spacing w:line="360" w:lineRule="auto"/>
        <w:ind w:firstLine="3120" w:firstLineChars="1300"/>
        <w:rPr>
          <w:rFonts w:ascii="宋体" w:hAnsi="宋体"/>
          <w:color w:val="auto"/>
          <w:sz w:val="24"/>
        </w:rPr>
      </w:pPr>
      <w:r>
        <w:rPr>
          <w:rFonts w:hint="eastAsia" w:ascii="宋体" w:hAnsi="宋体"/>
          <w:color w:val="auto"/>
          <w:sz w:val="24"/>
        </w:rPr>
        <w:t>投标人（全称并加盖公章）：</w:t>
      </w:r>
    </w:p>
    <w:p>
      <w:pPr>
        <w:spacing w:line="360" w:lineRule="auto"/>
        <w:rPr>
          <w:rFonts w:ascii="宋体" w:hAnsi="宋体"/>
          <w:color w:val="auto"/>
          <w:sz w:val="24"/>
        </w:rPr>
      </w:pPr>
      <w:r>
        <w:rPr>
          <w:rFonts w:hint="eastAsia" w:ascii="宋体" w:hAnsi="宋体"/>
          <w:color w:val="auto"/>
          <w:sz w:val="24"/>
        </w:rPr>
        <w:t xml:space="preserve">                          投标人代表签字：</w:t>
      </w:r>
    </w:p>
    <w:p>
      <w:pPr>
        <w:spacing w:line="360" w:lineRule="auto"/>
        <w:ind w:firstLine="480"/>
        <w:rPr>
          <w:rFonts w:ascii="宋体" w:hAnsi="宋体"/>
          <w:color w:val="auto"/>
        </w:rPr>
      </w:pPr>
      <w:r>
        <w:rPr>
          <w:rFonts w:hint="eastAsia" w:ascii="宋体" w:hAnsi="宋体"/>
          <w:color w:val="auto"/>
          <w:sz w:val="24"/>
        </w:rPr>
        <w:t xml:space="preserve">                      日      期：</w:t>
      </w:r>
    </w:p>
    <w:p>
      <w:pPr>
        <w:spacing w:line="360" w:lineRule="auto"/>
        <w:ind w:firstLine="3120" w:firstLineChars="1300"/>
        <w:rPr>
          <w:rFonts w:ascii="宋体" w:hAnsi="宋体"/>
          <w:color w:val="auto"/>
          <w:sz w:val="24"/>
          <w:u w:val="single"/>
        </w:rPr>
      </w:pPr>
    </w:p>
    <w:p>
      <w:pPr>
        <w:spacing w:line="400" w:lineRule="atLeast"/>
        <w:jc w:val="center"/>
        <w:rPr>
          <w:rFonts w:ascii="宋体" w:hAnsi="宋体"/>
          <w:b/>
          <w:bCs/>
          <w:color w:val="auto"/>
          <w:sz w:val="32"/>
          <w:szCs w:val="32"/>
        </w:rPr>
      </w:pPr>
    </w:p>
    <w:p>
      <w:pPr>
        <w:jc w:val="left"/>
        <w:rPr>
          <w:rFonts w:ascii="宋体" w:hAnsi="宋体"/>
          <w:color w:val="auto"/>
          <w:sz w:val="24"/>
        </w:rPr>
      </w:pPr>
    </w:p>
    <w:p>
      <w:pPr>
        <w:spacing w:line="400" w:lineRule="atLeast"/>
        <w:jc w:val="center"/>
        <w:rPr>
          <w:rFonts w:ascii="宋体" w:hAnsi="宋体"/>
          <w:b/>
          <w:bCs/>
          <w:color w:val="auto"/>
          <w:sz w:val="32"/>
          <w:szCs w:val="32"/>
        </w:rPr>
      </w:pPr>
    </w:p>
    <w:p>
      <w:pPr>
        <w:spacing w:line="400" w:lineRule="atLeast"/>
        <w:jc w:val="center"/>
        <w:rPr>
          <w:rFonts w:ascii="宋体" w:hAnsi="宋体"/>
          <w:b/>
          <w:bCs/>
          <w:color w:val="auto"/>
          <w:sz w:val="32"/>
          <w:szCs w:val="32"/>
        </w:rPr>
      </w:pPr>
    </w:p>
    <w:p>
      <w:pPr>
        <w:pStyle w:val="2"/>
        <w:rPr>
          <w:color w:val="auto"/>
        </w:rPr>
      </w:pPr>
    </w:p>
    <w:p>
      <w:pPr>
        <w:spacing w:line="360" w:lineRule="auto"/>
        <w:jc w:val="center"/>
        <w:rPr>
          <w:rFonts w:ascii="宋体" w:hAnsi="宋体"/>
          <w:b/>
          <w:bCs/>
          <w:color w:val="auto"/>
          <w:sz w:val="36"/>
          <w:szCs w:val="36"/>
        </w:rPr>
      </w:pPr>
      <w:r>
        <w:rPr>
          <w:rFonts w:hint="eastAsia" w:ascii="宋体" w:hAnsi="宋体"/>
          <w:b/>
          <w:bCs/>
          <w:color w:val="auto"/>
          <w:sz w:val="36"/>
          <w:szCs w:val="36"/>
        </w:rPr>
        <w:t>4-9、招标文件规定的其他资格要求文件</w:t>
      </w:r>
    </w:p>
    <w:p>
      <w:pPr>
        <w:spacing w:line="440" w:lineRule="exact"/>
        <w:jc w:val="center"/>
        <w:rPr>
          <w:rFonts w:ascii="宋体" w:hAnsi="宋体"/>
          <w:color w:val="auto"/>
          <w:sz w:val="24"/>
        </w:rPr>
      </w:pPr>
    </w:p>
    <w:p>
      <w:pPr>
        <w:pStyle w:val="16"/>
        <w:spacing w:line="360" w:lineRule="auto"/>
        <w:ind w:firstLine="480" w:firstLineChars="200"/>
        <w:rPr>
          <w:rFonts w:ascii="宋体" w:hAnsi="宋体"/>
          <w:color w:val="auto"/>
        </w:rPr>
      </w:pPr>
      <w:r>
        <w:rPr>
          <w:rFonts w:hint="eastAsia" w:ascii="宋体" w:hAnsi="宋体"/>
          <w:color w:val="auto"/>
        </w:rPr>
        <w:t>招标文件要求提供的其他资格要求文件请在此处提供（注：复印件均需由企业加盖公章并注明“与原件一致”。）</w:t>
      </w:r>
    </w:p>
    <w:p>
      <w:pPr>
        <w:jc w:val="left"/>
        <w:rPr>
          <w:rFonts w:ascii="宋体" w:hAnsi="宋体"/>
          <w:color w:val="auto"/>
          <w:sz w:val="24"/>
        </w:rPr>
      </w:pPr>
    </w:p>
    <w:p>
      <w:pPr>
        <w:tabs>
          <w:tab w:val="left" w:pos="900"/>
        </w:tabs>
        <w:spacing w:line="620" w:lineRule="exact"/>
        <w:rPr>
          <w:rFonts w:ascii="宋体" w:hAnsi="宋体"/>
          <w:color w:val="auto"/>
          <w:szCs w:val="21"/>
        </w:rPr>
      </w:pPr>
    </w:p>
    <w:p>
      <w:pPr>
        <w:jc w:val="center"/>
        <w:rPr>
          <w:rFonts w:ascii="宋体" w:hAnsi="宋体"/>
          <w:color w:val="auto"/>
          <w:sz w:val="24"/>
        </w:rPr>
      </w:pPr>
      <w:r>
        <w:rPr>
          <w:rFonts w:hint="eastAsia" w:ascii="宋体" w:hAnsi="宋体"/>
          <w:color w:val="auto"/>
        </w:rPr>
        <w:t> </w:t>
      </w:r>
    </w:p>
    <w:p>
      <w:pPr>
        <w:spacing w:line="360" w:lineRule="auto"/>
        <w:rPr>
          <w:rFonts w:ascii="宋体" w:hAnsi="宋体"/>
          <w:color w:val="auto"/>
        </w:rPr>
      </w:pPr>
      <w:r>
        <w:rPr>
          <w:rFonts w:hint="eastAsia" w:ascii="宋体" w:hAnsi="宋体"/>
          <w:color w:val="auto"/>
        </w:rPr>
        <w:br w:type="page"/>
      </w:r>
    </w:p>
    <w:p>
      <w:pPr>
        <w:pStyle w:val="84"/>
        <w:spacing w:line="360" w:lineRule="auto"/>
        <w:jc w:val="center"/>
        <w:outlineLvl w:val="9"/>
        <w:rPr>
          <w:rFonts w:hAnsi="宋体"/>
          <w:b/>
          <w:color w:val="auto"/>
          <w:sz w:val="36"/>
        </w:rPr>
      </w:pPr>
      <w:r>
        <w:rPr>
          <w:rFonts w:hint="eastAsia" w:hAnsi="宋体"/>
          <w:b/>
          <w:color w:val="auto"/>
          <w:sz w:val="36"/>
        </w:rPr>
        <w:t>5、质保期和售后服务承诺书</w:t>
      </w:r>
    </w:p>
    <w:p>
      <w:pPr>
        <w:spacing w:line="360" w:lineRule="auto"/>
        <w:jc w:val="center"/>
        <w:rPr>
          <w:rFonts w:ascii="宋体" w:hAnsi="宋体"/>
          <w:color w:val="auto"/>
        </w:rPr>
      </w:pPr>
    </w:p>
    <w:p>
      <w:pPr>
        <w:spacing w:line="360" w:lineRule="auto"/>
        <w:jc w:val="center"/>
        <w:rPr>
          <w:rFonts w:ascii="宋体" w:hAnsi="宋体"/>
          <w:color w:val="auto"/>
        </w:rPr>
      </w:pPr>
    </w:p>
    <w:p>
      <w:pPr>
        <w:spacing w:line="360" w:lineRule="auto"/>
        <w:ind w:firstLine="480"/>
        <w:rPr>
          <w:rFonts w:ascii="宋体" w:hAnsi="宋体"/>
          <w:color w:val="auto"/>
          <w:sz w:val="24"/>
        </w:rPr>
      </w:pPr>
      <w:r>
        <w:rPr>
          <w:rFonts w:hint="eastAsia" w:ascii="宋体" w:hAnsi="宋体"/>
          <w:color w:val="auto"/>
          <w:sz w:val="24"/>
        </w:rPr>
        <w:t>投标人根据招标文件对售后服务的要求，结合自身实际情况进行承诺（含参加本项目售后服务人员配备情况，服务保障体系、维护响应计划等）、施工安装期和支付方式承诺、培训方案等。</w:t>
      </w:r>
    </w:p>
    <w:p>
      <w:pPr>
        <w:spacing w:line="360" w:lineRule="auto"/>
        <w:jc w:val="center"/>
        <w:rPr>
          <w:rFonts w:ascii="宋体" w:hAnsi="宋体"/>
          <w:color w:val="auto"/>
        </w:rPr>
      </w:pPr>
    </w:p>
    <w:p>
      <w:pPr>
        <w:spacing w:line="360" w:lineRule="auto"/>
        <w:jc w:val="center"/>
        <w:rPr>
          <w:rFonts w:ascii="宋体" w:hAnsi="宋体"/>
          <w:color w:val="auto"/>
        </w:rPr>
      </w:pPr>
    </w:p>
    <w:p>
      <w:pPr>
        <w:spacing w:line="360" w:lineRule="auto"/>
        <w:jc w:val="center"/>
        <w:rPr>
          <w:rFonts w:ascii="宋体" w:hAnsi="宋体"/>
          <w:color w:val="auto"/>
        </w:rPr>
      </w:pPr>
    </w:p>
    <w:p>
      <w:pPr>
        <w:spacing w:line="360" w:lineRule="auto"/>
        <w:jc w:val="center"/>
        <w:rPr>
          <w:rFonts w:ascii="宋体" w:hAnsi="宋体"/>
          <w:color w:val="auto"/>
        </w:rPr>
      </w:pPr>
    </w:p>
    <w:p>
      <w:pPr>
        <w:spacing w:line="360" w:lineRule="auto"/>
        <w:jc w:val="center"/>
        <w:rPr>
          <w:rFonts w:ascii="宋体" w:hAnsi="宋体"/>
          <w:color w:val="auto"/>
        </w:rPr>
      </w:pPr>
    </w:p>
    <w:p>
      <w:pPr>
        <w:spacing w:line="360" w:lineRule="auto"/>
        <w:ind w:firstLine="3120" w:firstLineChars="1300"/>
        <w:rPr>
          <w:rFonts w:ascii="宋体" w:hAnsi="宋体"/>
          <w:color w:val="auto"/>
          <w:sz w:val="24"/>
        </w:rPr>
      </w:pPr>
      <w:r>
        <w:rPr>
          <w:rFonts w:hint="eastAsia" w:ascii="宋体" w:hAnsi="宋体"/>
          <w:color w:val="auto"/>
          <w:sz w:val="24"/>
        </w:rPr>
        <w:t>投标人（全称并加盖公章）：</w:t>
      </w:r>
    </w:p>
    <w:p>
      <w:pPr>
        <w:spacing w:line="360" w:lineRule="auto"/>
        <w:rPr>
          <w:rFonts w:ascii="宋体" w:hAnsi="宋体"/>
          <w:color w:val="auto"/>
          <w:sz w:val="24"/>
        </w:rPr>
      </w:pPr>
      <w:r>
        <w:rPr>
          <w:rFonts w:hint="eastAsia" w:ascii="宋体" w:hAnsi="宋体"/>
          <w:color w:val="auto"/>
          <w:sz w:val="24"/>
        </w:rPr>
        <w:t xml:space="preserve">                          投标人代表签字：</w:t>
      </w:r>
    </w:p>
    <w:p>
      <w:pPr>
        <w:spacing w:line="360" w:lineRule="auto"/>
        <w:ind w:firstLine="480"/>
        <w:rPr>
          <w:rFonts w:ascii="宋体" w:hAnsi="宋体"/>
          <w:color w:val="auto"/>
        </w:rPr>
      </w:pPr>
      <w:r>
        <w:rPr>
          <w:rFonts w:hint="eastAsia" w:ascii="宋体" w:hAnsi="宋体"/>
          <w:color w:val="auto"/>
          <w:sz w:val="24"/>
        </w:rPr>
        <w:t xml:space="preserve">                      日      期：</w:t>
      </w:r>
    </w:p>
    <w:p>
      <w:pPr>
        <w:spacing w:line="360" w:lineRule="auto"/>
        <w:jc w:val="center"/>
        <w:rPr>
          <w:rFonts w:ascii="宋体" w:hAnsi="宋体"/>
          <w:color w:val="auto"/>
        </w:rPr>
      </w:pPr>
    </w:p>
    <w:p>
      <w:pPr>
        <w:tabs>
          <w:tab w:val="left" w:pos="900"/>
        </w:tabs>
        <w:spacing w:line="360" w:lineRule="auto"/>
        <w:rPr>
          <w:rFonts w:ascii="宋体" w:hAnsi="宋体"/>
          <w:color w:val="auto"/>
          <w:szCs w:val="21"/>
        </w:rPr>
      </w:pPr>
    </w:p>
    <w:p>
      <w:pPr>
        <w:spacing w:line="360" w:lineRule="auto"/>
        <w:jc w:val="center"/>
        <w:rPr>
          <w:rFonts w:ascii="宋体" w:hAnsi="宋体"/>
          <w:color w:val="auto"/>
        </w:rPr>
      </w:pPr>
    </w:p>
    <w:p>
      <w:pPr>
        <w:spacing w:line="360" w:lineRule="auto"/>
        <w:jc w:val="center"/>
        <w:rPr>
          <w:rFonts w:ascii="宋体" w:hAnsi="宋体"/>
          <w:color w:val="auto"/>
        </w:rPr>
      </w:pPr>
    </w:p>
    <w:p>
      <w:pPr>
        <w:spacing w:line="360" w:lineRule="auto"/>
        <w:jc w:val="center"/>
        <w:rPr>
          <w:rFonts w:ascii="宋体" w:hAnsi="宋体"/>
          <w:b/>
          <w:color w:val="auto"/>
          <w:sz w:val="36"/>
        </w:rPr>
      </w:pPr>
      <w:bookmarkStart w:id="62" w:name="_Toc294200847"/>
      <w:r>
        <w:rPr>
          <w:rFonts w:hint="eastAsia" w:ascii="宋体" w:hAnsi="宋体"/>
          <w:b/>
          <w:color w:val="auto"/>
          <w:sz w:val="36"/>
        </w:rPr>
        <w:t>6、投标人提交的其它资料</w:t>
      </w:r>
      <w:bookmarkEnd w:id="62"/>
    </w:p>
    <w:p>
      <w:pPr>
        <w:spacing w:line="360" w:lineRule="auto"/>
        <w:rPr>
          <w:rFonts w:ascii="宋体" w:hAnsi="宋体"/>
          <w:b/>
          <w:color w:val="auto"/>
          <w:sz w:val="36"/>
        </w:rPr>
      </w:pPr>
    </w:p>
    <w:p>
      <w:pPr>
        <w:spacing w:line="360" w:lineRule="auto"/>
        <w:ind w:firstLine="480" w:firstLineChars="200"/>
        <w:rPr>
          <w:rFonts w:ascii="宋体" w:hAnsi="宋体"/>
          <w:b/>
          <w:bCs/>
          <w:color w:val="auto"/>
          <w:sz w:val="36"/>
        </w:rPr>
      </w:pPr>
      <w:r>
        <w:rPr>
          <w:rFonts w:hint="eastAsia" w:ascii="宋体" w:hAnsi="宋体"/>
          <w:color w:val="auto"/>
          <w:sz w:val="24"/>
        </w:rPr>
        <w:t>投标人认为应提交的其他材料, 可在此附件中提交。</w:t>
      </w:r>
    </w:p>
    <w:p>
      <w:pPr>
        <w:spacing w:line="360" w:lineRule="auto"/>
        <w:ind w:firstLine="480"/>
        <w:rPr>
          <w:rFonts w:ascii="宋体" w:hAnsi="宋体"/>
          <w:color w:val="auto"/>
          <w:sz w:val="24"/>
        </w:rPr>
      </w:pPr>
      <w:r>
        <w:rPr>
          <w:rFonts w:hint="eastAsia" w:ascii="宋体" w:hAnsi="宋体"/>
          <w:color w:val="auto"/>
          <w:sz w:val="24"/>
        </w:rPr>
        <w:t>（1）招标文件要求提供的其它资料等。</w:t>
      </w:r>
    </w:p>
    <w:p>
      <w:pPr>
        <w:spacing w:line="360" w:lineRule="auto"/>
        <w:ind w:firstLine="480"/>
        <w:rPr>
          <w:rFonts w:ascii="宋体" w:hAnsi="宋体"/>
          <w:color w:val="auto"/>
          <w:sz w:val="24"/>
        </w:rPr>
      </w:pPr>
    </w:p>
    <w:p>
      <w:pPr>
        <w:pStyle w:val="16"/>
        <w:spacing w:line="360" w:lineRule="auto"/>
        <w:ind w:firstLine="480" w:firstLineChars="200"/>
        <w:rPr>
          <w:rFonts w:ascii="宋体" w:hAnsi="宋体"/>
          <w:color w:val="auto"/>
        </w:rPr>
      </w:pPr>
      <w:r>
        <w:rPr>
          <w:rFonts w:hint="eastAsia" w:ascii="宋体" w:hAnsi="宋体"/>
          <w:color w:val="auto"/>
        </w:rPr>
        <w:t>（注：复印件均需由企业加盖公章并注明“与原件一致”。）</w:t>
      </w: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ind w:firstLine="3120" w:firstLineChars="1300"/>
        <w:rPr>
          <w:rFonts w:ascii="宋体" w:hAnsi="宋体"/>
          <w:color w:val="auto"/>
          <w:sz w:val="24"/>
        </w:rPr>
      </w:pPr>
      <w:r>
        <w:rPr>
          <w:rFonts w:hint="eastAsia" w:ascii="宋体" w:hAnsi="宋体"/>
          <w:color w:val="auto"/>
          <w:sz w:val="24"/>
        </w:rPr>
        <w:t>投标人（全称并加盖公章）：</w:t>
      </w:r>
    </w:p>
    <w:p>
      <w:pPr>
        <w:spacing w:line="360" w:lineRule="auto"/>
        <w:rPr>
          <w:rFonts w:ascii="宋体" w:hAnsi="宋体"/>
          <w:color w:val="auto"/>
          <w:sz w:val="24"/>
        </w:rPr>
      </w:pPr>
      <w:r>
        <w:rPr>
          <w:rFonts w:hint="eastAsia" w:ascii="宋体" w:hAnsi="宋体"/>
          <w:color w:val="auto"/>
          <w:sz w:val="24"/>
        </w:rPr>
        <w:t xml:space="preserve">                          投标人代表签字：</w:t>
      </w:r>
    </w:p>
    <w:p>
      <w:pPr>
        <w:spacing w:line="360" w:lineRule="auto"/>
        <w:rPr>
          <w:rFonts w:ascii="宋体" w:hAnsi="宋体"/>
          <w:color w:val="auto"/>
          <w:sz w:val="24"/>
        </w:rPr>
      </w:pPr>
      <w:r>
        <w:rPr>
          <w:rFonts w:hint="eastAsia" w:ascii="宋体" w:hAnsi="宋体"/>
          <w:color w:val="auto"/>
          <w:sz w:val="24"/>
        </w:rPr>
        <w:t xml:space="preserve">                          日      期：</w:t>
      </w:r>
    </w:p>
    <w:p>
      <w:pPr>
        <w:spacing w:line="360" w:lineRule="auto"/>
        <w:ind w:firstLine="3780" w:firstLineChars="1350"/>
        <w:rPr>
          <w:rFonts w:ascii="宋体" w:hAnsi="宋体"/>
          <w:color w:val="auto"/>
          <w:sz w:val="28"/>
        </w:rPr>
      </w:pPr>
    </w:p>
    <w:p>
      <w:pPr>
        <w:spacing w:line="360" w:lineRule="auto"/>
        <w:jc w:val="center"/>
        <w:rPr>
          <w:rFonts w:ascii="宋体" w:hAnsi="宋体"/>
          <w:color w:val="auto"/>
        </w:rPr>
      </w:pPr>
      <w:r>
        <w:rPr>
          <w:rFonts w:hint="eastAsia" w:ascii="宋体" w:hAnsi="宋体"/>
          <w:b/>
          <w:bCs/>
          <w:color w:val="auto"/>
          <w:sz w:val="36"/>
        </w:rPr>
        <w:t>7、招标服务费承诺书</w:t>
      </w:r>
    </w:p>
    <w:p>
      <w:pPr>
        <w:pStyle w:val="84"/>
        <w:spacing w:line="360" w:lineRule="auto"/>
        <w:jc w:val="center"/>
        <w:outlineLvl w:val="9"/>
        <w:rPr>
          <w:rFonts w:hAnsi="宋体"/>
          <w:color w:val="auto"/>
          <w:sz w:val="21"/>
        </w:rPr>
      </w:pPr>
      <w:r>
        <w:rPr>
          <w:rFonts w:hint="eastAsia" w:hAnsi="宋体"/>
          <w:color w:val="auto"/>
          <w:sz w:val="36"/>
        </w:rPr>
        <w:cr/>
      </w:r>
    </w:p>
    <w:p>
      <w:pPr>
        <w:spacing w:line="360" w:lineRule="auto"/>
        <w:rPr>
          <w:rFonts w:ascii="宋体" w:hAnsi="宋体"/>
          <w:color w:val="auto"/>
          <w:sz w:val="24"/>
        </w:rPr>
      </w:pPr>
      <w:r>
        <w:rPr>
          <w:rFonts w:hint="eastAsia" w:ascii="宋体" w:hAnsi="宋体"/>
          <w:color w:val="auto"/>
          <w:sz w:val="24"/>
        </w:rPr>
        <w:t>致：宁德市恒福招标有限公司</w:t>
      </w:r>
    </w:p>
    <w:p>
      <w:pPr>
        <w:spacing w:line="360" w:lineRule="auto"/>
        <w:rPr>
          <w:rFonts w:ascii="宋体" w:hAnsi="宋体"/>
          <w:color w:val="auto"/>
          <w:sz w:val="24"/>
        </w:rPr>
      </w:pPr>
    </w:p>
    <w:p>
      <w:pPr>
        <w:spacing w:line="360" w:lineRule="auto"/>
        <w:ind w:firstLine="480" w:firstLineChars="200"/>
        <w:rPr>
          <w:rFonts w:ascii="宋体" w:hAnsi="宋体"/>
          <w:color w:val="auto"/>
          <w:sz w:val="24"/>
        </w:rPr>
      </w:pPr>
      <w:r>
        <w:rPr>
          <w:rFonts w:hint="eastAsia" w:ascii="宋体" w:hAnsi="宋体"/>
          <w:color w:val="auto"/>
          <w:sz w:val="24"/>
        </w:rPr>
        <w:t>我们在贵公司组织的项目招标中投标（招标编号：），如获中标，我们保证按招标文件的规定，以支票、汇票、电汇、现金或经贵公司认可的其他付款方式，向贵公司缴交招标服务费。</w:t>
      </w:r>
    </w:p>
    <w:p>
      <w:pPr>
        <w:spacing w:line="360" w:lineRule="auto"/>
        <w:ind w:firstLine="480" w:firstLineChars="200"/>
        <w:rPr>
          <w:rFonts w:ascii="宋体" w:hAnsi="宋体"/>
          <w:color w:val="auto"/>
          <w:sz w:val="24"/>
        </w:rPr>
      </w:pPr>
      <w:r>
        <w:rPr>
          <w:rFonts w:hint="eastAsia" w:ascii="宋体" w:hAnsi="宋体"/>
          <w:color w:val="auto"/>
          <w:sz w:val="24"/>
        </w:rPr>
        <w:t>我方如违反上述承诺，所提交的上述项目的投标保证金将不予退还我方，我方对此无异议。</w:t>
      </w:r>
    </w:p>
    <w:p>
      <w:pPr>
        <w:spacing w:line="360" w:lineRule="auto"/>
        <w:rPr>
          <w:rFonts w:ascii="宋体" w:hAnsi="宋体"/>
          <w:color w:val="auto"/>
          <w:sz w:val="24"/>
        </w:rPr>
      </w:pPr>
    </w:p>
    <w:p>
      <w:pPr>
        <w:spacing w:line="360" w:lineRule="auto"/>
        <w:ind w:firstLine="480" w:firstLineChars="200"/>
        <w:rPr>
          <w:rFonts w:ascii="宋体" w:hAnsi="宋体"/>
          <w:color w:val="auto"/>
          <w:sz w:val="24"/>
        </w:rPr>
      </w:pPr>
      <w:r>
        <w:rPr>
          <w:rFonts w:hint="eastAsia" w:ascii="宋体" w:hAnsi="宋体"/>
          <w:color w:val="auto"/>
          <w:sz w:val="24"/>
        </w:rPr>
        <w:t>特此承诺！</w:t>
      </w:r>
    </w:p>
    <w:p>
      <w:pPr>
        <w:spacing w:line="360" w:lineRule="auto"/>
        <w:rPr>
          <w:rFonts w:ascii="宋体" w:hAnsi="宋体"/>
          <w:color w:val="auto"/>
          <w:sz w:val="24"/>
        </w:rPr>
      </w:pPr>
    </w:p>
    <w:p>
      <w:pPr>
        <w:spacing w:line="360" w:lineRule="auto"/>
        <w:rPr>
          <w:rFonts w:ascii="宋体" w:hAnsi="宋体"/>
          <w:color w:val="auto"/>
          <w:sz w:val="24"/>
          <w:u w:val="single"/>
        </w:rPr>
      </w:pPr>
      <w:r>
        <w:rPr>
          <w:rFonts w:hint="eastAsia" w:ascii="宋体" w:hAnsi="宋体"/>
          <w:color w:val="auto"/>
          <w:sz w:val="24"/>
        </w:rPr>
        <w:t xml:space="preserve">                            投标人（全称并加盖公章）： </w:t>
      </w:r>
    </w:p>
    <w:p>
      <w:pPr>
        <w:spacing w:line="360" w:lineRule="auto"/>
        <w:rPr>
          <w:rFonts w:ascii="宋体" w:hAnsi="宋体"/>
          <w:color w:val="auto"/>
          <w:sz w:val="24"/>
        </w:rPr>
      </w:pPr>
      <w:r>
        <w:rPr>
          <w:rFonts w:hint="eastAsia" w:ascii="宋体" w:hAnsi="宋体"/>
          <w:color w:val="auto"/>
          <w:sz w:val="24"/>
        </w:rPr>
        <w:t xml:space="preserve">                            投标人代表签字：</w:t>
      </w:r>
    </w:p>
    <w:p>
      <w:pPr>
        <w:spacing w:line="360" w:lineRule="auto"/>
        <w:ind w:firstLine="3360" w:firstLineChars="1400"/>
        <w:rPr>
          <w:rFonts w:ascii="宋体" w:hAnsi="宋体"/>
          <w:color w:val="auto"/>
          <w:sz w:val="24"/>
          <w:u w:val="single"/>
        </w:rPr>
      </w:pPr>
      <w:r>
        <w:rPr>
          <w:rFonts w:hint="eastAsia" w:ascii="宋体" w:hAnsi="宋体"/>
          <w:color w:val="auto"/>
          <w:sz w:val="24"/>
        </w:rPr>
        <w:t>邮 编：电 话：</w:t>
      </w:r>
    </w:p>
    <w:p>
      <w:pPr>
        <w:spacing w:line="360" w:lineRule="auto"/>
        <w:rPr>
          <w:rFonts w:ascii="宋体" w:hAnsi="宋体"/>
          <w:color w:val="auto"/>
          <w:sz w:val="24"/>
          <w:u w:val="single"/>
        </w:rPr>
      </w:pPr>
      <w:r>
        <w:rPr>
          <w:rFonts w:hint="eastAsia" w:ascii="宋体" w:hAnsi="宋体"/>
          <w:color w:val="auto"/>
          <w:sz w:val="24"/>
        </w:rPr>
        <w:t xml:space="preserve">                            传 真：日 期： </w:t>
      </w:r>
    </w:p>
    <w:p>
      <w:pPr>
        <w:pStyle w:val="20"/>
        <w:snapToGrid w:val="0"/>
        <w:spacing w:line="360" w:lineRule="auto"/>
        <w:ind w:firstLine="564"/>
        <w:jc w:val="left"/>
        <w:rPr>
          <w:rFonts w:hAnsi="宋体"/>
          <w:color w:val="auto"/>
          <w:u w:val="single"/>
        </w:rPr>
      </w:pPr>
    </w:p>
    <w:p>
      <w:pPr>
        <w:pStyle w:val="84"/>
        <w:spacing w:line="360" w:lineRule="auto"/>
        <w:outlineLvl w:val="9"/>
        <w:rPr>
          <w:rFonts w:hAnsi="宋体"/>
          <w:color w:val="auto"/>
          <w:sz w:val="21"/>
        </w:rPr>
      </w:pPr>
    </w:p>
    <w:p>
      <w:pPr>
        <w:pStyle w:val="20"/>
        <w:spacing w:line="360" w:lineRule="auto"/>
        <w:jc w:val="left"/>
        <w:rPr>
          <w:rFonts w:hAnsi="宋体"/>
          <w:color w:val="auto"/>
        </w:rPr>
      </w:pPr>
    </w:p>
    <w:p>
      <w:pPr>
        <w:pStyle w:val="20"/>
        <w:spacing w:line="360" w:lineRule="auto"/>
        <w:jc w:val="left"/>
        <w:rPr>
          <w:rFonts w:hAnsi="宋体"/>
          <w:color w:val="auto"/>
        </w:rPr>
      </w:pPr>
    </w:p>
    <w:p>
      <w:pPr>
        <w:pStyle w:val="20"/>
        <w:spacing w:line="360" w:lineRule="auto"/>
        <w:jc w:val="left"/>
        <w:rPr>
          <w:rFonts w:hAnsi="宋体"/>
          <w:color w:val="auto"/>
        </w:rPr>
      </w:pPr>
    </w:p>
    <w:p>
      <w:pPr>
        <w:pStyle w:val="20"/>
        <w:spacing w:line="360" w:lineRule="auto"/>
        <w:jc w:val="left"/>
        <w:rPr>
          <w:rFonts w:hAnsi="宋体"/>
          <w:color w:val="auto"/>
        </w:rPr>
      </w:pPr>
    </w:p>
    <w:p>
      <w:pPr>
        <w:pStyle w:val="20"/>
        <w:spacing w:line="360" w:lineRule="auto"/>
        <w:jc w:val="left"/>
        <w:rPr>
          <w:rFonts w:hAnsi="宋体"/>
          <w:color w:val="auto"/>
        </w:rPr>
      </w:pPr>
    </w:p>
    <w:p>
      <w:pPr>
        <w:pStyle w:val="20"/>
        <w:spacing w:line="360" w:lineRule="auto"/>
        <w:jc w:val="left"/>
        <w:rPr>
          <w:rFonts w:hAnsi="宋体"/>
          <w:color w:val="auto"/>
        </w:rPr>
      </w:pPr>
    </w:p>
    <w:p>
      <w:pPr>
        <w:pStyle w:val="20"/>
        <w:spacing w:line="360" w:lineRule="auto"/>
        <w:jc w:val="left"/>
        <w:rPr>
          <w:rFonts w:hAnsi="宋体"/>
          <w:color w:val="auto"/>
        </w:rPr>
      </w:pPr>
    </w:p>
    <w:p>
      <w:pPr>
        <w:pStyle w:val="20"/>
        <w:spacing w:line="360" w:lineRule="auto"/>
        <w:jc w:val="left"/>
        <w:rPr>
          <w:rFonts w:hAnsi="宋体"/>
          <w:color w:val="auto"/>
        </w:rPr>
      </w:pPr>
    </w:p>
    <w:p>
      <w:pPr>
        <w:pStyle w:val="20"/>
        <w:spacing w:line="360" w:lineRule="auto"/>
        <w:jc w:val="left"/>
        <w:rPr>
          <w:rFonts w:hAnsi="宋体"/>
          <w:color w:val="auto"/>
        </w:rPr>
      </w:pPr>
    </w:p>
    <w:p>
      <w:pPr>
        <w:pStyle w:val="20"/>
        <w:spacing w:line="360" w:lineRule="auto"/>
        <w:jc w:val="left"/>
        <w:rPr>
          <w:rFonts w:hAnsi="宋体"/>
          <w:color w:val="auto"/>
        </w:rPr>
      </w:pPr>
    </w:p>
    <w:p>
      <w:pPr>
        <w:pStyle w:val="20"/>
        <w:spacing w:line="360" w:lineRule="auto"/>
        <w:jc w:val="left"/>
        <w:rPr>
          <w:rFonts w:hAnsi="宋体"/>
          <w:color w:val="auto"/>
        </w:rPr>
      </w:pPr>
    </w:p>
    <w:p>
      <w:pPr>
        <w:spacing w:line="360" w:lineRule="auto"/>
        <w:rPr>
          <w:rFonts w:ascii="宋体" w:hAnsi="宋体"/>
          <w:color w:val="auto"/>
        </w:rPr>
      </w:pPr>
    </w:p>
    <w:p>
      <w:pPr>
        <w:spacing w:line="360" w:lineRule="auto"/>
        <w:jc w:val="center"/>
        <w:rPr>
          <w:rFonts w:ascii="宋体" w:hAnsi="宋体"/>
          <w:b/>
          <w:bCs/>
          <w:color w:val="auto"/>
          <w:sz w:val="36"/>
        </w:rPr>
      </w:pPr>
      <w:r>
        <w:rPr>
          <w:rFonts w:ascii="宋体" w:hAnsi="宋体"/>
          <w:b/>
          <w:bCs/>
          <w:color w:val="auto"/>
          <w:sz w:val="36"/>
        </w:rPr>
        <w:br w:type="page"/>
      </w:r>
      <w:r>
        <w:rPr>
          <w:rFonts w:hint="eastAsia" w:ascii="宋体" w:hAnsi="宋体"/>
          <w:b/>
          <w:bCs/>
          <w:color w:val="auto"/>
          <w:sz w:val="36"/>
        </w:rPr>
        <w:t>8、保证金提交申明函</w:t>
      </w:r>
    </w:p>
    <w:p>
      <w:pPr>
        <w:spacing w:line="360" w:lineRule="auto"/>
        <w:jc w:val="center"/>
        <w:rPr>
          <w:rFonts w:ascii="宋体" w:hAnsi="宋体"/>
          <w:b/>
          <w:bCs/>
          <w:color w:val="auto"/>
          <w:sz w:val="36"/>
        </w:rPr>
      </w:pPr>
    </w:p>
    <w:p>
      <w:pPr>
        <w:pStyle w:val="20"/>
        <w:snapToGrid w:val="0"/>
        <w:spacing w:line="360" w:lineRule="auto"/>
        <w:jc w:val="left"/>
        <w:rPr>
          <w:rFonts w:hAnsi="宋体"/>
          <w:color w:val="auto"/>
          <w:sz w:val="24"/>
        </w:rPr>
      </w:pPr>
      <w:r>
        <w:rPr>
          <w:rFonts w:hint="eastAsia" w:hAnsi="宋体"/>
          <w:color w:val="auto"/>
          <w:sz w:val="24"/>
        </w:rPr>
        <w:t>致：宁德市恒福招标有限公司</w:t>
      </w:r>
    </w:p>
    <w:p>
      <w:pPr>
        <w:spacing w:line="360" w:lineRule="auto"/>
        <w:rPr>
          <w:rFonts w:ascii="宋体" w:hAnsi="宋体"/>
          <w:b/>
          <w:bCs/>
          <w:color w:val="auto"/>
          <w:sz w:val="24"/>
        </w:rPr>
      </w:pPr>
      <w:r>
        <w:rPr>
          <w:rFonts w:hint="eastAsia" w:ascii="宋体" w:hAnsi="宋体"/>
          <w:color w:val="auto"/>
          <w:sz w:val="24"/>
        </w:rPr>
        <w:cr/>
      </w:r>
    </w:p>
    <w:p>
      <w:pPr>
        <w:pStyle w:val="20"/>
        <w:snapToGrid w:val="0"/>
        <w:spacing w:line="360" w:lineRule="auto"/>
        <w:jc w:val="left"/>
        <w:rPr>
          <w:rFonts w:hAnsi="宋体"/>
          <w:color w:val="auto"/>
          <w:sz w:val="24"/>
        </w:rPr>
      </w:pPr>
      <w:r>
        <w:rPr>
          <w:rFonts w:hint="eastAsia" w:hAnsi="宋体"/>
          <w:color w:val="auto"/>
          <w:sz w:val="24"/>
        </w:rPr>
        <w:t xml:space="preserve">  我们在贵公司组织的项目招标中投标（招标编号：），我们按招标文件的规定，以付款方式，向贵公司缴交投标保证金。</w:t>
      </w:r>
    </w:p>
    <w:p>
      <w:pPr>
        <w:spacing w:line="360" w:lineRule="auto"/>
        <w:rPr>
          <w:rFonts w:ascii="宋体" w:hAnsi="宋体"/>
          <w:b/>
          <w:bCs/>
          <w:color w:val="auto"/>
          <w:sz w:val="24"/>
        </w:rPr>
      </w:pPr>
    </w:p>
    <w:p>
      <w:pPr>
        <w:tabs>
          <w:tab w:val="left" w:pos="795"/>
        </w:tabs>
        <w:spacing w:line="360" w:lineRule="auto"/>
        <w:rPr>
          <w:rFonts w:ascii="宋体" w:hAnsi="宋体"/>
          <w:b/>
          <w:bCs/>
          <w:color w:val="auto"/>
          <w:sz w:val="24"/>
        </w:rPr>
      </w:pPr>
      <w:r>
        <w:rPr>
          <w:rFonts w:hint="eastAsia" w:ascii="宋体" w:hAnsi="宋体"/>
          <w:b/>
          <w:bCs/>
          <w:color w:val="auto"/>
          <w:sz w:val="24"/>
        </w:rPr>
        <w:tab/>
      </w:r>
      <w:r>
        <w:rPr>
          <w:rFonts w:hint="eastAsia" w:ascii="宋体" w:hAnsi="宋体"/>
          <w:b/>
          <w:bCs/>
          <w:color w:val="auto"/>
          <w:sz w:val="24"/>
        </w:rPr>
        <w:t>附：</w:t>
      </w:r>
      <w:r>
        <w:rPr>
          <w:rFonts w:hint="eastAsia" w:ascii="宋体" w:hAnsi="宋体"/>
          <w:color w:val="auto"/>
          <w:sz w:val="24"/>
        </w:rPr>
        <w:t>缴交投标保证金凭证复印件</w:t>
      </w:r>
    </w:p>
    <w:p>
      <w:pPr>
        <w:spacing w:line="360" w:lineRule="auto"/>
        <w:rPr>
          <w:rFonts w:ascii="宋体" w:hAnsi="宋体"/>
          <w:b/>
          <w:bCs/>
          <w:color w:val="auto"/>
          <w:sz w:val="24"/>
        </w:rPr>
      </w:pPr>
    </w:p>
    <w:p>
      <w:pPr>
        <w:spacing w:line="360" w:lineRule="auto"/>
        <w:rPr>
          <w:rFonts w:ascii="宋体" w:hAnsi="宋体"/>
          <w:b/>
          <w:bCs/>
          <w:color w:val="auto"/>
          <w:sz w:val="24"/>
        </w:rPr>
      </w:pPr>
    </w:p>
    <w:tbl>
      <w:tblPr>
        <w:tblStyle w:val="37"/>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9000" w:type="dxa"/>
            <w:noWrap/>
          </w:tcPr>
          <w:p>
            <w:pPr>
              <w:spacing w:line="360" w:lineRule="auto"/>
              <w:rPr>
                <w:rFonts w:ascii="宋体" w:hAnsi="宋体"/>
                <w:b/>
                <w:bCs/>
                <w:color w:val="auto"/>
                <w:sz w:val="24"/>
              </w:rPr>
            </w:pPr>
            <w:r>
              <w:rPr>
                <w:rFonts w:hint="eastAsia" w:ascii="宋体" w:hAnsi="宋体"/>
                <w:color w:val="auto"/>
                <w:sz w:val="24"/>
              </w:rPr>
              <w:t>复印件粘帖处</w:t>
            </w:r>
          </w:p>
          <w:p>
            <w:pPr>
              <w:spacing w:line="360" w:lineRule="auto"/>
              <w:rPr>
                <w:rFonts w:ascii="宋体" w:hAnsi="宋体"/>
                <w:b/>
                <w:bCs/>
                <w:color w:val="auto"/>
                <w:sz w:val="24"/>
              </w:rPr>
            </w:pPr>
          </w:p>
          <w:p>
            <w:pPr>
              <w:spacing w:line="360" w:lineRule="auto"/>
              <w:rPr>
                <w:rFonts w:ascii="宋体" w:hAnsi="宋体"/>
                <w:b/>
                <w:bCs/>
                <w:color w:val="auto"/>
                <w:sz w:val="24"/>
              </w:rPr>
            </w:pPr>
          </w:p>
          <w:p>
            <w:pPr>
              <w:spacing w:line="360" w:lineRule="auto"/>
              <w:rPr>
                <w:rFonts w:ascii="宋体" w:hAnsi="宋体"/>
                <w:b/>
                <w:bCs/>
                <w:color w:val="auto"/>
                <w:sz w:val="24"/>
              </w:rPr>
            </w:pPr>
          </w:p>
          <w:p>
            <w:pPr>
              <w:spacing w:line="360" w:lineRule="auto"/>
              <w:rPr>
                <w:rFonts w:ascii="宋体" w:hAnsi="宋体"/>
                <w:b/>
                <w:bCs/>
                <w:color w:val="auto"/>
                <w:sz w:val="24"/>
              </w:rPr>
            </w:pPr>
          </w:p>
          <w:p>
            <w:pPr>
              <w:spacing w:line="360" w:lineRule="auto"/>
              <w:rPr>
                <w:rFonts w:ascii="宋体" w:hAnsi="宋体"/>
                <w:b/>
                <w:bCs/>
                <w:color w:val="auto"/>
                <w:sz w:val="24"/>
              </w:rPr>
            </w:pPr>
          </w:p>
          <w:p>
            <w:pPr>
              <w:spacing w:line="360" w:lineRule="auto"/>
              <w:rPr>
                <w:rFonts w:ascii="宋体" w:hAnsi="宋体"/>
                <w:b/>
                <w:bCs/>
                <w:color w:val="auto"/>
                <w:sz w:val="24"/>
              </w:rPr>
            </w:pPr>
          </w:p>
        </w:tc>
      </w:tr>
    </w:tbl>
    <w:p>
      <w:pPr>
        <w:spacing w:line="360" w:lineRule="auto"/>
        <w:rPr>
          <w:rFonts w:ascii="宋体" w:hAnsi="宋体"/>
          <w:b/>
          <w:bCs/>
          <w:color w:val="auto"/>
          <w:sz w:val="24"/>
        </w:rPr>
      </w:pPr>
    </w:p>
    <w:p>
      <w:pPr>
        <w:spacing w:line="360" w:lineRule="auto"/>
        <w:rPr>
          <w:rFonts w:ascii="宋体" w:hAnsi="宋体"/>
          <w:b/>
          <w:bCs/>
          <w:color w:val="auto"/>
          <w:sz w:val="24"/>
        </w:rPr>
      </w:pPr>
    </w:p>
    <w:p>
      <w:pPr>
        <w:pStyle w:val="20"/>
        <w:spacing w:line="360" w:lineRule="auto"/>
        <w:ind w:firstLine="564"/>
        <w:jc w:val="left"/>
        <w:rPr>
          <w:rFonts w:hAnsi="宋体"/>
          <w:color w:val="auto"/>
          <w:sz w:val="24"/>
        </w:rPr>
      </w:pPr>
      <w:r>
        <w:rPr>
          <w:rFonts w:hint="eastAsia" w:hAnsi="宋体"/>
          <w:color w:val="auto"/>
          <w:sz w:val="24"/>
        </w:rPr>
        <w:t xml:space="preserve">                             投标人名称：_____________________</w:t>
      </w:r>
    </w:p>
    <w:p>
      <w:pPr>
        <w:pStyle w:val="20"/>
        <w:spacing w:line="360" w:lineRule="auto"/>
        <w:ind w:firstLine="564"/>
        <w:jc w:val="left"/>
        <w:rPr>
          <w:rFonts w:hAnsi="宋体"/>
          <w:color w:val="auto"/>
          <w:sz w:val="24"/>
        </w:rPr>
      </w:pPr>
      <w:r>
        <w:rPr>
          <w:rFonts w:hint="eastAsia" w:hAnsi="宋体"/>
          <w:color w:val="auto"/>
          <w:sz w:val="24"/>
        </w:rPr>
        <w:t xml:space="preserve">                             授权代表签字：___________________</w:t>
      </w:r>
    </w:p>
    <w:p>
      <w:pPr>
        <w:pStyle w:val="20"/>
        <w:spacing w:line="360" w:lineRule="auto"/>
        <w:ind w:firstLine="564"/>
        <w:jc w:val="left"/>
        <w:rPr>
          <w:rFonts w:hAnsi="宋体"/>
          <w:color w:val="auto"/>
          <w:sz w:val="24"/>
        </w:rPr>
      </w:pPr>
      <w:r>
        <w:rPr>
          <w:rFonts w:hint="eastAsia" w:hAnsi="宋体"/>
          <w:color w:val="auto"/>
          <w:sz w:val="24"/>
        </w:rPr>
        <w:t xml:space="preserve">                             投标人盖章：_____________________</w:t>
      </w:r>
    </w:p>
    <w:p>
      <w:pPr>
        <w:pStyle w:val="20"/>
        <w:spacing w:line="360" w:lineRule="auto"/>
        <w:ind w:firstLine="564"/>
        <w:jc w:val="left"/>
        <w:rPr>
          <w:rFonts w:hAnsi="宋体"/>
          <w:color w:val="auto"/>
          <w:sz w:val="24"/>
        </w:rPr>
      </w:pPr>
      <w:r>
        <w:rPr>
          <w:rFonts w:hint="eastAsia" w:hAnsi="宋体"/>
          <w:color w:val="auto"/>
          <w:sz w:val="24"/>
        </w:rPr>
        <w:t xml:space="preserve">                             地址：__________________________</w:t>
      </w:r>
    </w:p>
    <w:p>
      <w:pPr>
        <w:pStyle w:val="20"/>
        <w:spacing w:line="360" w:lineRule="auto"/>
        <w:ind w:firstLine="564"/>
        <w:jc w:val="left"/>
        <w:rPr>
          <w:rFonts w:hAnsi="宋体"/>
          <w:color w:val="auto"/>
          <w:sz w:val="24"/>
        </w:rPr>
      </w:pPr>
      <w:r>
        <w:rPr>
          <w:rFonts w:hint="eastAsia" w:hAnsi="宋体"/>
          <w:color w:val="auto"/>
          <w:sz w:val="24"/>
        </w:rPr>
        <w:t xml:space="preserve">                             邮编：__________电话：__________</w:t>
      </w:r>
    </w:p>
    <w:p>
      <w:pPr>
        <w:pStyle w:val="20"/>
        <w:spacing w:line="360" w:lineRule="auto"/>
        <w:ind w:firstLine="564"/>
        <w:jc w:val="left"/>
        <w:rPr>
          <w:rFonts w:hAnsi="宋体"/>
          <w:color w:val="auto"/>
          <w:sz w:val="24"/>
        </w:rPr>
      </w:pPr>
      <w:r>
        <w:rPr>
          <w:rFonts w:hint="eastAsia" w:hAnsi="宋体"/>
          <w:color w:val="auto"/>
          <w:sz w:val="24"/>
        </w:rPr>
        <w:t xml:space="preserve">                             传真：__________日期：__________</w:t>
      </w:r>
    </w:p>
    <w:p>
      <w:pPr>
        <w:spacing w:line="360" w:lineRule="auto"/>
        <w:rPr>
          <w:rFonts w:ascii="宋体" w:hAnsi="宋体"/>
          <w:color w:val="auto"/>
        </w:rPr>
      </w:pPr>
    </w:p>
    <w:p>
      <w:pPr>
        <w:spacing w:line="360" w:lineRule="auto"/>
        <w:rPr>
          <w:rFonts w:ascii="宋体" w:hAnsi="宋体"/>
          <w:color w:val="auto"/>
        </w:rPr>
      </w:pPr>
    </w:p>
    <w:p>
      <w:pPr>
        <w:spacing w:line="360" w:lineRule="auto"/>
        <w:ind w:right="480"/>
        <w:jc w:val="center"/>
        <w:rPr>
          <w:rFonts w:ascii="宋体" w:hAnsi="宋体"/>
          <w:b/>
          <w:bCs/>
          <w:color w:val="auto"/>
          <w:sz w:val="36"/>
        </w:rPr>
      </w:pPr>
      <w:r>
        <w:rPr>
          <w:rFonts w:hint="eastAsia" w:ascii="宋体" w:hAnsi="宋体"/>
          <w:b/>
          <w:bCs/>
          <w:color w:val="auto"/>
          <w:sz w:val="36"/>
        </w:rPr>
        <w:t>9、退回保证金授权函</w:t>
      </w:r>
    </w:p>
    <w:p>
      <w:pPr>
        <w:pStyle w:val="21"/>
        <w:tabs>
          <w:tab w:val="left" w:pos="900"/>
        </w:tabs>
        <w:spacing w:line="360" w:lineRule="auto"/>
        <w:ind w:left="86" w:leftChars="41"/>
        <w:rPr>
          <w:rFonts w:hAnsi="宋体" w:cs="Arial"/>
          <w:b/>
          <w:color w:val="auto"/>
          <w:sz w:val="24"/>
        </w:rPr>
      </w:pPr>
    </w:p>
    <w:p>
      <w:pPr>
        <w:spacing w:line="360" w:lineRule="auto"/>
        <w:rPr>
          <w:rFonts w:ascii="宋体" w:hAnsi="宋体"/>
          <w:color w:val="auto"/>
          <w:sz w:val="24"/>
          <w:szCs w:val="24"/>
        </w:rPr>
      </w:pPr>
      <w:r>
        <w:rPr>
          <w:rFonts w:hint="eastAsia" w:ascii="宋体" w:hAnsi="宋体"/>
          <w:color w:val="auto"/>
          <w:sz w:val="24"/>
          <w:szCs w:val="24"/>
        </w:rPr>
        <w:t>致：宁德市恒福招标有限公司</w:t>
      </w:r>
    </w:p>
    <w:p>
      <w:pPr>
        <w:pStyle w:val="21"/>
        <w:tabs>
          <w:tab w:val="left" w:pos="900"/>
        </w:tabs>
        <w:spacing w:line="360" w:lineRule="auto"/>
        <w:rPr>
          <w:rFonts w:hAnsi="宋体"/>
          <w:color w:val="auto"/>
          <w:sz w:val="24"/>
          <w:szCs w:val="24"/>
        </w:rPr>
      </w:pPr>
    </w:p>
    <w:p>
      <w:pPr>
        <w:spacing w:line="360" w:lineRule="auto"/>
        <w:ind w:firstLine="477" w:firstLineChars="199"/>
        <w:rPr>
          <w:rFonts w:ascii="宋体" w:hAnsi="宋体" w:cs="Arial"/>
          <w:bCs/>
          <w:color w:val="auto"/>
          <w:sz w:val="24"/>
          <w:u w:val="single"/>
        </w:rPr>
      </w:pPr>
      <w:r>
        <w:rPr>
          <w:rFonts w:hint="eastAsia" w:ascii="宋体" w:hAnsi="宋体"/>
          <w:bCs/>
          <w:color w:val="auto"/>
          <w:sz w:val="24"/>
        </w:rPr>
        <w:t>我方参与项目编号为</w:t>
      </w:r>
      <w:r>
        <w:rPr>
          <w:rFonts w:hint="eastAsia" w:ascii="宋体" w:hAnsi="宋体" w:cs="Arial"/>
          <w:bCs/>
          <w:color w:val="auto"/>
          <w:sz w:val="24"/>
        </w:rPr>
        <w:t>的</w:t>
      </w:r>
      <w:r>
        <w:rPr>
          <w:rFonts w:hint="eastAsia" w:ascii="宋体" w:hAnsi="宋体" w:cs="Arial"/>
          <w:bCs/>
          <w:color w:val="auto"/>
          <w:sz w:val="24"/>
          <w:u w:val="single"/>
        </w:rPr>
        <w:t xml:space="preserve">     （项目名称）     投标,</w:t>
      </w:r>
    </w:p>
    <w:p>
      <w:pPr>
        <w:spacing w:line="360" w:lineRule="auto"/>
        <w:ind w:firstLine="477" w:firstLineChars="199"/>
        <w:jc w:val="left"/>
        <w:rPr>
          <w:rFonts w:ascii="宋体" w:hAnsi="宋体"/>
          <w:b/>
          <w:bCs/>
          <w:color w:val="auto"/>
          <w:sz w:val="24"/>
        </w:rPr>
      </w:pPr>
      <w:r>
        <w:rPr>
          <w:rFonts w:hint="eastAsia" w:ascii="宋体" w:hAnsi="宋体"/>
          <w:bCs/>
          <w:color w:val="auto"/>
          <w:sz w:val="24"/>
        </w:rPr>
        <w:t>我方</w:t>
      </w:r>
      <w:r>
        <w:rPr>
          <w:rFonts w:hint="eastAsia" w:ascii="宋体" w:hAnsi="宋体"/>
          <w:color w:val="auto"/>
          <w:sz w:val="24"/>
        </w:rPr>
        <w:t>以</w:t>
      </w:r>
      <w:r>
        <w:rPr>
          <w:rFonts w:hint="eastAsia" w:ascii="宋体" w:hAnsi="宋体"/>
          <w:color w:val="auto"/>
          <w:sz w:val="24"/>
          <w:u w:val="single"/>
        </w:rPr>
        <w:t xml:space="preserve"> 转账 </w:t>
      </w:r>
      <w:r>
        <w:rPr>
          <w:rFonts w:hint="eastAsia" w:ascii="宋体" w:hAnsi="宋体"/>
          <w:color w:val="auto"/>
          <w:sz w:val="24"/>
        </w:rPr>
        <w:t>形式</w:t>
      </w:r>
      <w:r>
        <w:rPr>
          <w:rFonts w:hint="eastAsia" w:ascii="宋体" w:hAnsi="宋体" w:cs="Arial"/>
          <w:bCs/>
          <w:color w:val="auto"/>
          <w:sz w:val="24"/>
        </w:rPr>
        <w:t>提供人民币元投标保证金，当可以退回时，请退回到我公司以下帐户：</w:t>
      </w:r>
    </w:p>
    <w:p>
      <w:pPr>
        <w:numPr>
          <w:ilvl w:val="1"/>
          <w:numId w:val="17"/>
        </w:numPr>
        <w:spacing w:line="360" w:lineRule="auto"/>
        <w:rPr>
          <w:rFonts w:ascii="宋体" w:hAnsi="宋体"/>
          <w:color w:val="auto"/>
          <w:sz w:val="24"/>
        </w:rPr>
      </w:pPr>
      <w:r>
        <w:rPr>
          <w:rFonts w:hint="eastAsia" w:ascii="宋体" w:hAnsi="宋体"/>
          <w:color w:val="auto"/>
          <w:sz w:val="24"/>
        </w:rPr>
        <w:t>开户名：</w:t>
      </w:r>
    </w:p>
    <w:p>
      <w:pPr>
        <w:numPr>
          <w:ilvl w:val="1"/>
          <w:numId w:val="17"/>
        </w:numPr>
        <w:spacing w:line="360" w:lineRule="auto"/>
        <w:rPr>
          <w:rFonts w:ascii="宋体" w:hAnsi="宋体"/>
          <w:color w:val="auto"/>
          <w:sz w:val="24"/>
        </w:rPr>
      </w:pPr>
      <w:r>
        <w:rPr>
          <w:rFonts w:hint="eastAsia" w:ascii="宋体" w:hAnsi="宋体"/>
          <w:color w:val="auto"/>
          <w:sz w:val="24"/>
        </w:rPr>
        <w:t>开户行：</w:t>
      </w:r>
    </w:p>
    <w:p>
      <w:pPr>
        <w:numPr>
          <w:ilvl w:val="1"/>
          <w:numId w:val="17"/>
        </w:numPr>
        <w:spacing w:line="360" w:lineRule="auto"/>
        <w:rPr>
          <w:rFonts w:ascii="宋体" w:hAnsi="宋体"/>
          <w:color w:val="auto"/>
          <w:sz w:val="24"/>
        </w:rPr>
      </w:pPr>
      <w:r>
        <w:rPr>
          <w:rFonts w:hint="eastAsia" w:ascii="宋体" w:hAnsi="宋体"/>
          <w:color w:val="auto"/>
          <w:sz w:val="24"/>
        </w:rPr>
        <w:t>开户行行号：</w:t>
      </w:r>
    </w:p>
    <w:p>
      <w:pPr>
        <w:numPr>
          <w:ilvl w:val="1"/>
          <w:numId w:val="17"/>
        </w:numPr>
        <w:spacing w:line="360" w:lineRule="auto"/>
        <w:rPr>
          <w:rFonts w:ascii="宋体" w:hAnsi="宋体"/>
          <w:b/>
          <w:bCs/>
          <w:color w:val="auto"/>
          <w:sz w:val="24"/>
        </w:rPr>
      </w:pPr>
      <w:r>
        <w:rPr>
          <w:rFonts w:hint="eastAsia" w:ascii="宋体" w:hAnsi="宋体"/>
          <w:color w:val="auto"/>
          <w:sz w:val="24"/>
        </w:rPr>
        <w:t>帐  号：</w:t>
      </w:r>
    </w:p>
    <w:p>
      <w:pPr>
        <w:numPr>
          <w:ilvl w:val="1"/>
          <w:numId w:val="17"/>
        </w:numPr>
        <w:spacing w:line="360" w:lineRule="auto"/>
        <w:rPr>
          <w:rFonts w:ascii="宋体" w:hAnsi="宋体"/>
          <w:b/>
          <w:bCs/>
          <w:color w:val="auto"/>
          <w:sz w:val="24"/>
        </w:rPr>
      </w:pPr>
      <w:r>
        <w:rPr>
          <w:rFonts w:hint="eastAsia" w:ascii="宋体" w:hAnsi="宋体"/>
          <w:color w:val="auto"/>
          <w:sz w:val="24"/>
        </w:rPr>
        <w:t>税  号：</w:t>
      </w:r>
    </w:p>
    <w:p>
      <w:pPr>
        <w:spacing w:line="360" w:lineRule="auto"/>
        <w:ind w:firstLine="477" w:firstLineChars="199"/>
        <w:jc w:val="left"/>
        <w:rPr>
          <w:rFonts w:ascii="宋体" w:hAnsi="宋体"/>
          <w:color w:val="auto"/>
          <w:sz w:val="24"/>
        </w:rPr>
      </w:pPr>
      <w:r>
        <w:rPr>
          <w:rFonts w:hint="eastAsia" w:ascii="宋体" w:hAnsi="宋体"/>
          <w:bCs/>
          <w:color w:val="auto"/>
          <w:sz w:val="24"/>
        </w:rPr>
        <w:t>我方以</w:t>
      </w:r>
      <w:r>
        <w:rPr>
          <w:rFonts w:hint="eastAsia" w:ascii="宋体" w:hAnsi="宋体"/>
          <w:color w:val="auto"/>
          <w:sz w:val="24"/>
        </w:rPr>
        <w:t>汇票</w:t>
      </w:r>
      <w:r>
        <w:rPr>
          <w:rFonts w:hint="eastAsia" w:ascii="宋体" w:hAnsi="宋体"/>
          <w:bCs/>
          <w:color w:val="auto"/>
          <w:sz w:val="24"/>
        </w:rPr>
        <w:t>形式提供人民币元投标保证金，当可以退回时，授权委托我司员工:,身份证号码:至贵司，全权办理此项目投标保证金汇票退还事宜。请贵司给予办理。</w:t>
      </w:r>
    </w:p>
    <w:p>
      <w:pPr>
        <w:spacing w:line="360" w:lineRule="auto"/>
        <w:ind w:firstLine="479" w:firstLineChars="199"/>
        <w:rPr>
          <w:rFonts w:ascii="宋体" w:hAnsi="宋体"/>
          <w:b/>
          <w:bCs/>
          <w:color w:val="auto"/>
          <w:sz w:val="24"/>
        </w:rPr>
      </w:pPr>
    </w:p>
    <w:p>
      <w:pPr>
        <w:spacing w:line="360" w:lineRule="auto"/>
        <w:ind w:firstLine="479" w:firstLineChars="199"/>
        <w:rPr>
          <w:rFonts w:ascii="宋体" w:hAnsi="宋体"/>
          <w:b/>
          <w:bCs/>
          <w:color w:val="auto"/>
          <w:sz w:val="24"/>
        </w:rPr>
      </w:pPr>
    </w:p>
    <w:p>
      <w:pPr>
        <w:spacing w:line="360" w:lineRule="auto"/>
        <w:ind w:firstLine="4080" w:firstLineChars="1700"/>
        <w:rPr>
          <w:rFonts w:ascii="宋体" w:hAnsi="宋体"/>
          <w:color w:val="auto"/>
          <w:sz w:val="24"/>
          <w:u w:val="single"/>
        </w:rPr>
      </w:pPr>
      <w:r>
        <w:rPr>
          <w:rFonts w:hint="eastAsia" w:ascii="宋体" w:hAnsi="宋体"/>
          <w:color w:val="auto"/>
          <w:sz w:val="24"/>
        </w:rPr>
        <w:t>投标人名称：</w:t>
      </w:r>
      <w:r>
        <w:rPr>
          <w:rFonts w:hint="eastAsia" w:ascii="宋体" w:hAnsi="宋体"/>
          <w:color w:val="auto"/>
          <w:sz w:val="24"/>
          <w:u w:val="single"/>
        </w:rPr>
        <w:t>（全称并加盖公章）</w:t>
      </w:r>
    </w:p>
    <w:p>
      <w:pPr>
        <w:spacing w:line="360" w:lineRule="auto"/>
        <w:ind w:firstLine="4080" w:firstLineChars="1700"/>
        <w:rPr>
          <w:rFonts w:ascii="宋体" w:hAnsi="宋体"/>
          <w:color w:val="auto"/>
          <w:sz w:val="24"/>
        </w:rPr>
      </w:pPr>
      <w:r>
        <w:rPr>
          <w:rFonts w:hint="eastAsia" w:ascii="宋体" w:hAnsi="宋体"/>
          <w:color w:val="auto"/>
          <w:sz w:val="24"/>
        </w:rPr>
        <w:t>投标人代表签名：</w:t>
      </w:r>
    </w:p>
    <w:p>
      <w:pPr>
        <w:spacing w:line="360" w:lineRule="auto"/>
        <w:ind w:firstLine="4080" w:firstLineChars="1700"/>
        <w:rPr>
          <w:rFonts w:ascii="宋体" w:hAnsi="宋体"/>
          <w:color w:val="auto"/>
          <w:sz w:val="24"/>
        </w:rPr>
      </w:pPr>
      <w:r>
        <w:rPr>
          <w:rFonts w:hint="eastAsia" w:ascii="宋体" w:hAnsi="宋体"/>
          <w:color w:val="auto"/>
          <w:sz w:val="24"/>
        </w:rPr>
        <w:t>投标人联系方式：</w:t>
      </w:r>
    </w:p>
    <w:p>
      <w:pPr>
        <w:tabs>
          <w:tab w:val="right" w:pos="8505"/>
        </w:tabs>
        <w:spacing w:line="360" w:lineRule="auto"/>
        <w:ind w:firstLine="4080" w:firstLineChars="1700"/>
        <w:rPr>
          <w:rFonts w:ascii="宋体" w:hAnsi="宋体"/>
          <w:color w:val="auto"/>
          <w:sz w:val="28"/>
        </w:rPr>
      </w:pPr>
      <w:r>
        <w:rPr>
          <w:rFonts w:hint="eastAsia" w:ascii="宋体" w:hAnsi="宋体"/>
          <w:color w:val="auto"/>
          <w:sz w:val="24"/>
        </w:rPr>
        <w:t>日期：         年    月     日</w:t>
      </w:r>
      <w:r>
        <w:rPr>
          <w:rFonts w:ascii="宋体" w:hAnsi="宋体"/>
          <w:color w:val="auto"/>
          <w:sz w:val="24"/>
        </w:rPr>
        <w:tab/>
      </w: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b/>
          <w:color w:val="auto"/>
          <w:sz w:val="24"/>
        </w:rPr>
      </w:pPr>
      <w:r>
        <w:rPr>
          <w:rFonts w:hint="eastAsia" w:ascii="宋体" w:hAnsi="宋体"/>
          <w:b/>
          <w:color w:val="auto"/>
          <w:sz w:val="24"/>
        </w:rPr>
        <w:t xml:space="preserve">备注: </w:t>
      </w:r>
      <w:r>
        <w:rPr>
          <w:rFonts w:ascii="宋体" w:hAnsi="宋体"/>
          <w:b/>
          <w:color w:val="auto"/>
          <w:sz w:val="24"/>
        </w:rPr>
        <w:t>现根据《中华人民共和国政府采购法实施条例》、《财政部关于做好政府采购信息公开工作的通知》的相关规定，招标代理机构将对中标人与采购人签订的政府采购合同在省级以上人民政府财政部门指定的媒体上公告（合同中涉及国家秘密、商业秘密内容的除外）。请中标方将签订的采购合同按以下规定提交招标代理机构，以便我司进行合同公示及办理退还保证金。办理保证金退还的咨询专线：</w:t>
      </w:r>
      <w:r>
        <w:rPr>
          <w:rFonts w:hint="eastAsia" w:ascii="宋体" w:hAnsi="宋体"/>
          <w:b/>
          <w:color w:val="auto"/>
          <w:sz w:val="24"/>
        </w:rPr>
        <w:t>0593-2822316</w:t>
      </w:r>
      <w:r>
        <w:rPr>
          <w:rFonts w:ascii="宋体" w:hAnsi="宋体"/>
          <w:b/>
          <w:color w:val="auto"/>
          <w:sz w:val="24"/>
        </w:rPr>
        <w:t>。</w:t>
      </w:r>
    </w:p>
    <w:p>
      <w:pPr>
        <w:spacing w:line="360" w:lineRule="auto"/>
        <w:rPr>
          <w:rFonts w:ascii="宋体" w:hAnsi="宋体"/>
          <w:b/>
          <w:color w:val="auto"/>
          <w:sz w:val="24"/>
        </w:rPr>
      </w:pPr>
      <w:r>
        <w:rPr>
          <w:rFonts w:ascii="宋体" w:hAnsi="宋体"/>
          <w:b/>
          <w:color w:val="auto"/>
          <w:sz w:val="24"/>
        </w:rPr>
        <w:t>1、 中标单位需将合同原件扫描发至</w:t>
      </w:r>
      <w:r>
        <w:rPr>
          <w:rFonts w:hint="eastAsia" w:ascii="宋体" w:hAnsi="宋体"/>
          <w:b/>
          <w:color w:val="auto"/>
          <w:sz w:val="24"/>
        </w:rPr>
        <w:t>ndhfzb88@163.com</w:t>
      </w:r>
      <w:r>
        <w:rPr>
          <w:rFonts w:ascii="宋体" w:hAnsi="宋体"/>
          <w:b/>
          <w:color w:val="auto"/>
          <w:sz w:val="24"/>
        </w:rPr>
        <w:t>邮箱，内容及公章必须清晰（不接受传真件），同时请在邮件中注明招标编号、项目名称、中标单位名称、中标金额、投标保证金金额、合同签订日期、单位法人名字、联系电话，</w:t>
      </w:r>
      <w:r>
        <w:rPr>
          <w:rFonts w:hint="eastAsia" w:ascii="宋体" w:hAnsi="宋体"/>
          <w:b/>
          <w:color w:val="auto"/>
          <w:sz w:val="24"/>
        </w:rPr>
        <w:t>我司将在一个工作日内作出邮件形式的回复，如未收到回复有可能我司未收到合同，请再次发送，</w:t>
      </w:r>
      <w:r>
        <w:rPr>
          <w:rFonts w:ascii="宋体" w:hAnsi="宋体"/>
          <w:b/>
          <w:color w:val="auto"/>
          <w:sz w:val="24"/>
        </w:rPr>
        <w:t>以便</w:t>
      </w:r>
      <w:r>
        <w:rPr>
          <w:rFonts w:hint="eastAsia" w:ascii="宋体" w:hAnsi="宋体"/>
          <w:b/>
          <w:color w:val="auto"/>
          <w:sz w:val="24"/>
        </w:rPr>
        <w:t>我司</w:t>
      </w:r>
      <w:r>
        <w:rPr>
          <w:rFonts w:ascii="宋体" w:hAnsi="宋体"/>
          <w:b/>
          <w:color w:val="auto"/>
          <w:sz w:val="24"/>
        </w:rPr>
        <w:t>退保工作的顺利进行。（未按以上要求申请办理，所有责任投标方自负）。</w:t>
      </w:r>
    </w:p>
    <w:p>
      <w:pPr>
        <w:spacing w:line="360" w:lineRule="auto"/>
        <w:ind w:firstLine="482" w:firstLineChars="200"/>
        <w:rPr>
          <w:rFonts w:ascii="宋体" w:hAnsi="宋体"/>
          <w:b/>
          <w:color w:val="auto"/>
          <w:sz w:val="24"/>
        </w:rPr>
      </w:pPr>
      <w:r>
        <w:rPr>
          <w:rFonts w:ascii="宋体" w:hAnsi="宋体"/>
          <w:b/>
          <w:color w:val="auto"/>
          <w:sz w:val="24"/>
        </w:rPr>
        <w:t>2、落标单位需将落标结果通知书回执扫描发至</w:t>
      </w:r>
      <w:r>
        <w:rPr>
          <w:rFonts w:hint="eastAsia" w:ascii="宋体" w:hAnsi="宋体"/>
          <w:b/>
          <w:color w:val="auto"/>
          <w:sz w:val="24"/>
        </w:rPr>
        <w:t>ndhfzb88@163.com</w:t>
      </w:r>
      <w:r>
        <w:rPr>
          <w:rFonts w:ascii="宋体" w:hAnsi="宋体"/>
          <w:b/>
          <w:color w:val="auto"/>
          <w:sz w:val="24"/>
        </w:rPr>
        <w:t>邮箱，内容及公章必须清晰（不接受传真件），同时请在邮件中注明招标编号、项目名称、投标保证金金额、单位名称、联系电话，</w:t>
      </w:r>
      <w:r>
        <w:rPr>
          <w:rFonts w:hint="eastAsia" w:ascii="宋体" w:hAnsi="宋体"/>
          <w:b/>
          <w:color w:val="auto"/>
          <w:sz w:val="24"/>
        </w:rPr>
        <w:t>我司将在一个工作日内作出邮件形式的回复，如未收到回复有可能我司未收到落标通知书回执，请再次发送，</w:t>
      </w:r>
      <w:r>
        <w:rPr>
          <w:rFonts w:ascii="宋体" w:hAnsi="宋体"/>
          <w:b/>
          <w:color w:val="auto"/>
          <w:sz w:val="24"/>
        </w:rPr>
        <w:t>以便</w:t>
      </w:r>
      <w:r>
        <w:rPr>
          <w:rFonts w:hint="eastAsia" w:ascii="宋体" w:hAnsi="宋体"/>
          <w:b/>
          <w:color w:val="auto"/>
          <w:sz w:val="24"/>
        </w:rPr>
        <w:t>我司</w:t>
      </w:r>
      <w:r>
        <w:rPr>
          <w:rFonts w:ascii="宋体" w:hAnsi="宋体"/>
          <w:b/>
          <w:color w:val="auto"/>
          <w:sz w:val="24"/>
        </w:rPr>
        <w:t>退保工作的顺利进行。（未按以上要求申请办理，所有责任投标方自负）。</w:t>
      </w:r>
    </w:p>
    <w:p>
      <w:pPr>
        <w:spacing w:line="360" w:lineRule="auto"/>
        <w:ind w:firstLine="482" w:firstLineChars="200"/>
        <w:rPr>
          <w:rFonts w:ascii="宋体" w:hAnsi="宋体"/>
          <w:b/>
          <w:color w:val="auto"/>
          <w:sz w:val="24"/>
        </w:rPr>
      </w:pPr>
    </w:p>
    <w:p>
      <w:pPr>
        <w:spacing w:line="360" w:lineRule="auto"/>
        <w:ind w:firstLine="482" w:firstLineChars="200"/>
        <w:rPr>
          <w:rFonts w:ascii="宋体" w:hAnsi="宋体"/>
          <w:b/>
          <w:color w:val="auto"/>
          <w:sz w:val="24"/>
        </w:rPr>
      </w:pPr>
    </w:p>
    <w:p>
      <w:pPr>
        <w:spacing w:line="360" w:lineRule="auto"/>
        <w:ind w:firstLine="482" w:firstLineChars="200"/>
        <w:rPr>
          <w:rFonts w:ascii="宋体" w:hAnsi="宋体"/>
          <w:b/>
          <w:color w:val="auto"/>
          <w:sz w:val="24"/>
        </w:rPr>
      </w:pPr>
    </w:p>
    <w:p>
      <w:pPr>
        <w:spacing w:line="360" w:lineRule="auto"/>
        <w:ind w:firstLine="482" w:firstLineChars="200"/>
        <w:rPr>
          <w:rFonts w:ascii="宋体" w:hAnsi="宋体"/>
          <w:b/>
          <w:color w:val="auto"/>
          <w:sz w:val="24"/>
        </w:rPr>
      </w:pPr>
    </w:p>
    <w:p>
      <w:pPr>
        <w:spacing w:line="360" w:lineRule="auto"/>
        <w:ind w:firstLine="482" w:firstLineChars="200"/>
        <w:rPr>
          <w:rFonts w:ascii="宋体" w:hAnsi="宋体"/>
          <w:b/>
          <w:color w:val="auto"/>
          <w:sz w:val="24"/>
        </w:rPr>
      </w:pPr>
    </w:p>
    <w:p>
      <w:pPr>
        <w:spacing w:line="360" w:lineRule="auto"/>
        <w:ind w:firstLine="482" w:firstLineChars="200"/>
        <w:rPr>
          <w:rFonts w:ascii="宋体" w:hAnsi="宋体"/>
          <w:b/>
          <w:color w:val="auto"/>
          <w:sz w:val="24"/>
        </w:rPr>
      </w:pPr>
    </w:p>
    <w:p>
      <w:pPr>
        <w:spacing w:line="360" w:lineRule="auto"/>
        <w:ind w:firstLine="482" w:firstLineChars="200"/>
        <w:rPr>
          <w:rFonts w:ascii="宋体" w:hAnsi="宋体"/>
          <w:b/>
          <w:color w:val="auto"/>
          <w:sz w:val="24"/>
        </w:rPr>
      </w:pPr>
    </w:p>
    <w:p>
      <w:pPr>
        <w:spacing w:line="360" w:lineRule="auto"/>
        <w:ind w:firstLine="482" w:firstLineChars="200"/>
        <w:rPr>
          <w:rFonts w:ascii="宋体" w:hAnsi="宋体"/>
          <w:b/>
          <w:color w:val="auto"/>
          <w:sz w:val="24"/>
        </w:rPr>
      </w:pPr>
    </w:p>
    <w:p>
      <w:pPr>
        <w:spacing w:line="360" w:lineRule="auto"/>
        <w:ind w:firstLine="482" w:firstLineChars="200"/>
        <w:rPr>
          <w:rFonts w:ascii="宋体" w:hAnsi="宋体"/>
          <w:b/>
          <w:color w:val="auto"/>
          <w:sz w:val="24"/>
        </w:rPr>
      </w:pPr>
    </w:p>
    <w:p>
      <w:pPr>
        <w:spacing w:line="360" w:lineRule="auto"/>
        <w:ind w:firstLine="482" w:firstLineChars="200"/>
        <w:rPr>
          <w:rFonts w:ascii="宋体" w:hAnsi="宋体"/>
          <w:b/>
          <w:color w:val="auto"/>
          <w:sz w:val="24"/>
        </w:rPr>
      </w:pPr>
    </w:p>
    <w:p>
      <w:pPr>
        <w:spacing w:line="360" w:lineRule="auto"/>
        <w:ind w:firstLine="482" w:firstLineChars="200"/>
        <w:rPr>
          <w:rFonts w:ascii="宋体" w:hAnsi="宋体"/>
          <w:b/>
          <w:color w:val="auto"/>
          <w:sz w:val="24"/>
        </w:rPr>
      </w:pPr>
    </w:p>
    <w:p>
      <w:pPr>
        <w:spacing w:line="360" w:lineRule="auto"/>
        <w:ind w:firstLine="482" w:firstLineChars="200"/>
        <w:rPr>
          <w:rFonts w:ascii="宋体" w:hAnsi="宋体"/>
          <w:b/>
          <w:color w:val="auto"/>
          <w:sz w:val="24"/>
        </w:rPr>
      </w:pPr>
    </w:p>
    <w:p>
      <w:pPr>
        <w:spacing w:line="360" w:lineRule="auto"/>
        <w:ind w:firstLine="482" w:firstLineChars="200"/>
        <w:rPr>
          <w:rFonts w:ascii="宋体" w:hAnsi="宋体"/>
          <w:b/>
          <w:color w:val="auto"/>
          <w:sz w:val="24"/>
        </w:rPr>
      </w:pPr>
    </w:p>
    <w:p>
      <w:pPr>
        <w:spacing w:line="360" w:lineRule="auto"/>
        <w:ind w:firstLine="482" w:firstLineChars="200"/>
        <w:rPr>
          <w:rFonts w:ascii="宋体" w:hAnsi="宋体"/>
          <w:b/>
          <w:color w:val="auto"/>
          <w:sz w:val="24"/>
        </w:rPr>
      </w:pPr>
    </w:p>
    <w:p>
      <w:pPr>
        <w:spacing w:line="360" w:lineRule="auto"/>
        <w:ind w:firstLine="482" w:firstLineChars="200"/>
        <w:rPr>
          <w:rFonts w:ascii="宋体" w:hAnsi="宋体"/>
          <w:b/>
          <w:color w:val="auto"/>
          <w:sz w:val="24"/>
        </w:rPr>
      </w:pPr>
    </w:p>
    <w:p>
      <w:pPr>
        <w:spacing w:line="360" w:lineRule="auto"/>
        <w:ind w:firstLine="482" w:firstLineChars="200"/>
        <w:rPr>
          <w:rFonts w:ascii="宋体" w:hAnsi="宋体"/>
          <w:b/>
          <w:color w:val="auto"/>
          <w:sz w:val="24"/>
        </w:rPr>
      </w:pPr>
    </w:p>
    <w:p>
      <w:pPr>
        <w:spacing w:line="360" w:lineRule="auto"/>
        <w:ind w:firstLine="482" w:firstLineChars="200"/>
        <w:rPr>
          <w:rFonts w:ascii="宋体" w:hAnsi="宋体"/>
          <w:b/>
          <w:color w:val="auto"/>
          <w:sz w:val="24"/>
        </w:rPr>
      </w:pPr>
    </w:p>
    <w:p>
      <w:pPr>
        <w:spacing w:line="360" w:lineRule="auto"/>
        <w:ind w:firstLine="482" w:firstLineChars="200"/>
        <w:rPr>
          <w:rFonts w:ascii="宋体" w:hAnsi="宋体"/>
          <w:b/>
          <w:color w:val="auto"/>
          <w:sz w:val="24"/>
        </w:rPr>
      </w:pPr>
    </w:p>
    <w:p>
      <w:pPr>
        <w:spacing w:line="360" w:lineRule="auto"/>
        <w:ind w:firstLine="482" w:firstLineChars="200"/>
        <w:rPr>
          <w:rFonts w:ascii="宋体" w:hAnsi="宋体"/>
          <w:b/>
          <w:color w:val="auto"/>
          <w:sz w:val="24"/>
        </w:rPr>
      </w:pPr>
    </w:p>
    <w:p>
      <w:pPr>
        <w:spacing w:line="360" w:lineRule="auto"/>
        <w:ind w:firstLine="482" w:firstLineChars="200"/>
        <w:rPr>
          <w:rFonts w:ascii="宋体" w:hAnsi="宋体"/>
          <w:b/>
          <w:color w:val="auto"/>
          <w:sz w:val="24"/>
        </w:rPr>
      </w:pPr>
    </w:p>
    <w:p>
      <w:pPr>
        <w:spacing w:line="360" w:lineRule="auto"/>
        <w:ind w:firstLine="482" w:firstLineChars="200"/>
        <w:rPr>
          <w:rFonts w:ascii="宋体" w:hAnsi="宋体"/>
          <w:b/>
          <w:color w:val="auto"/>
          <w:sz w:val="24"/>
        </w:rPr>
      </w:pPr>
    </w:p>
    <w:p>
      <w:pPr>
        <w:spacing w:line="360" w:lineRule="auto"/>
        <w:ind w:firstLine="482" w:firstLineChars="200"/>
        <w:rPr>
          <w:rFonts w:ascii="宋体" w:hAnsi="宋体"/>
          <w:b/>
          <w:color w:val="auto"/>
          <w:sz w:val="24"/>
        </w:rPr>
      </w:pPr>
    </w:p>
    <w:p>
      <w:pPr>
        <w:spacing w:line="360" w:lineRule="auto"/>
        <w:ind w:firstLine="560" w:firstLineChars="200"/>
        <w:rPr>
          <w:rFonts w:ascii="宋体" w:hAnsi="宋体"/>
          <w:color w:val="auto"/>
          <w:sz w:val="28"/>
          <w:szCs w:val="28"/>
        </w:rPr>
      </w:pPr>
    </w:p>
    <w:p>
      <w:pPr>
        <w:spacing w:line="360" w:lineRule="auto"/>
        <w:jc w:val="center"/>
        <w:rPr>
          <w:rFonts w:ascii="宋体" w:hAnsi="宋体"/>
          <w:b/>
          <w:bCs/>
          <w:color w:val="auto"/>
          <w:sz w:val="36"/>
        </w:rPr>
      </w:pPr>
      <w:r>
        <w:rPr>
          <w:rFonts w:hint="eastAsia" w:ascii="宋体" w:hAnsi="宋体"/>
          <w:b/>
          <w:bCs/>
          <w:color w:val="auto"/>
          <w:sz w:val="36"/>
        </w:rPr>
        <w:t>10、投标人廉政保证书</w:t>
      </w:r>
    </w:p>
    <w:p>
      <w:pPr>
        <w:spacing w:line="360" w:lineRule="auto"/>
        <w:ind w:firstLine="723" w:firstLineChars="200"/>
        <w:jc w:val="center"/>
        <w:rPr>
          <w:rFonts w:ascii="宋体" w:hAnsi="宋体"/>
          <w:b/>
          <w:bCs/>
          <w:color w:val="auto"/>
          <w:sz w:val="36"/>
        </w:rPr>
      </w:pPr>
    </w:p>
    <w:p>
      <w:pPr>
        <w:spacing w:line="360" w:lineRule="auto"/>
        <w:ind w:firstLine="560" w:firstLineChars="200"/>
        <w:rPr>
          <w:rFonts w:ascii="宋体" w:hAnsi="宋体"/>
          <w:color w:val="auto"/>
          <w:sz w:val="28"/>
          <w:szCs w:val="28"/>
        </w:rPr>
      </w:pPr>
    </w:p>
    <w:p>
      <w:pPr>
        <w:spacing w:line="360" w:lineRule="auto"/>
        <w:rPr>
          <w:rFonts w:ascii="宋体" w:hAnsi="宋体"/>
          <w:color w:val="auto"/>
          <w:sz w:val="24"/>
          <w:szCs w:val="24"/>
        </w:rPr>
      </w:pPr>
      <w:r>
        <w:rPr>
          <w:rFonts w:hint="eastAsia" w:ascii="宋体" w:hAnsi="宋体"/>
          <w:b/>
          <w:color w:val="auto"/>
          <w:sz w:val="24"/>
          <w:szCs w:val="24"/>
        </w:rPr>
        <w:t>宁德市恒福招标有限公司</w:t>
      </w:r>
      <w:r>
        <w:rPr>
          <w:rFonts w:hint="eastAsia" w:ascii="宋体" w:hAnsi="宋体"/>
          <w:color w:val="auto"/>
          <w:sz w:val="24"/>
          <w:szCs w:val="24"/>
        </w:rPr>
        <w:t>：</w:t>
      </w:r>
    </w:p>
    <w:p>
      <w:pPr>
        <w:spacing w:line="360" w:lineRule="auto"/>
        <w:ind w:firstLine="480" w:firstLineChars="200"/>
        <w:rPr>
          <w:rFonts w:ascii="宋体" w:hAnsi="宋体"/>
          <w:color w:val="auto"/>
          <w:sz w:val="24"/>
        </w:rPr>
      </w:pPr>
      <w:r>
        <w:rPr>
          <w:rFonts w:hint="eastAsia" w:ascii="宋体" w:hAnsi="宋体"/>
          <w:color w:val="auto"/>
          <w:sz w:val="24"/>
        </w:rPr>
        <w:t>为了积极配合贵公司进行采购招标工作,确保此次招标工作的公平、公正、公开，我们保证认真贯彻国家有关廉政和招标投标的有关规定，特向贵公司承诺如下事项：</w:t>
      </w:r>
    </w:p>
    <w:p>
      <w:pPr>
        <w:numPr>
          <w:ilvl w:val="0"/>
          <w:numId w:val="18"/>
        </w:numPr>
        <w:spacing w:line="360" w:lineRule="auto"/>
        <w:rPr>
          <w:rFonts w:ascii="宋体" w:hAnsi="宋体"/>
          <w:color w:val="auto"/>
          <w:sz w:val="24"/>
        </w:rPr>
      </w:pPr>
      <w:r>
        <w:rPr>
          <w:rFonts w:hint="eastAsia" w:ascii="宋体" w:hAnsi="宋体"/>
          <w:color w:val="auto"/>
          <w:sz w:val="24"/>
        </w:rPr>
        <w:t>不以任何方式向采购人和评委会的任何人赠送礼品、礼金及有价证券；</w:t>
      </w:r>
    </w:p>
    <w:p>
      <w:pPr>
        <w:numPr>
          <w:ilvl w:val="0"/>
          <w:numId w:val="18"/>
        </w:numPr>
        <w:spacing w:line="360" w:lineRule="auto"/>
        <w:rPr>
          <w:rFonts w:ascii="宋体" w:hAnsi="宋体"/>
          <w:color w:val="auto"/>
          <w:sz w:val="24"/>
        </w:rPr>
      </w:pPr>
      <w:r>
        <w:rPr>
          <w:rFonts w:hint="eastAsia" w:ascii="宋体" w:hAnsi="宋体"/>
          <w:color w:val="auto"/>
          <w:sz w:val="24"/>
        </w:rPr>
        <w:t>不宴请采购人的任何人或请采购人的任何人参加高消费的娱乐活动以及旅游、考察、参观等；</w:t>
      </w:r>
    </w:p>
    <w:p>
      <w:pPr>
        <w:numPr>
          <w:ilvl w:val="0"/>
          <w:numId w:val="18"/>
        </w:numPr>
        <w:spacing w:line="360" w:lineRule="auto"/>
        <w:rPr>
          <w:rFonts w:ascii="宋体" w:hAnsi="宋体"/>
          <w:color w:val="auto"/>
          <w:sz w:val="24"/>
        </w:rPr>
      </w:pPr>
      <w:r>
        <w:rPr>
          <w:rFonts w:hint="eastAsia" w:ascii="宋体" w:hAnsi="宋体"/>
          <w:color w:val="auto"/>
          <w:sz w:val="24"/>
        </w:rPr>
        <w:t>不以任何形式报销采购人的任何人以及亲友的各种票据及费用；</w:t>
      </w:r>
    </w:p>
    <w:p>
      <w:pPr>
        <w:numPr>
          <w:ilvl w:val="0"/>
          <w:numId w:val="18"/>
        </w:numPr>
        <w:spacing w:line="360" w:lineRule="auto"/>
        <w:rPr>
          <w:rFonts w:ascii="宋体" w:hAnsi="宋体"/>
          <w:color w:val="auto"/>
          <w:sz w:val="24"/>
        </w:rPr>
      </w:pPr>
      <w:r>
        <w:rPr>
          <w:rFonts w:hint="eastAsia" w:ascii="宋体" w:hAnsi="宋体"/>
          <w:color w:val="auto"/>
          <w:sz w:val="24"/>
        </w:rPr>
        <w:t>不进行可能影响招投标公平、公正的任何活动；</w:t>
      </w:r>
    </w:p>
    <w:p>
      <w:pPr>
        <w:numPr>
          <w:ilvl w:val="0"/>
          <w:numId w:val="18"/>
        </w:numPr>
        <w:spacing w:line="360" w:lineRule="auto"/>
        <w:rPr>
          <w:rFonts w:ascii="宋体" w:hAnsi="宋体"/>
          <w:color w:val="auto"/>
          <w:sz w:val="24"/>
        </w:rPr>
      </w:pPr>
      <w:r>
        <w:rPr>
          <w:rFonts w:hint="eastAsia" w:ascii="宋体" w:hAnsi="宋体"/>
          <w:color w:val="auto"/>
          <w:sz w:val="24"/>
        </w:rPr>
        <w:t>如违反上述承诺，愿接受取消投标资格及其他任何形式的处理；</w:t>
      </w: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r>
        <w:rPr>
          <w:rFonts w:hint="eastAsia" w:ascii="宋体" w:hAnsi="宋体"/>
          <w:color w:val="auto"/>
          <w:sz w:val="24"/>
        </w:rPr>
        <w:t>投标人（全称并加盖公章）：</w:t>
      </w:r>
    </w:p>
    <w:p>
      <w:pPr>
        <w:spacing w:line="360" w:lineRule="auto"/>
        <w:rPr>
          <w:rFonts w:ascii="宋体" w:hAnsi="宋体"/>
          <w:color w:val="auto"/>
          <w:sz w:val="28"/>
          <w:szCs w:val="28"/>
        </w:rPr>
      </w:pPr>
      <w:r>
        <w:rPr>
          <w:rFonts w:hint="eastAsia" w:ascii="宋体" w:hAnsi="宋体"/>
          <w:color w:val="auto"/>
          <w:sz w:val="24"/>
        </w:rPr>
        <w:t>投标人代表（签字）：</w:t>
      </w:r>
    </w:p>
    <w:p>
      <w:pPr>
        <w:spacing w:line="360" w:lineRule="auto"/>
        <w:ind w:firstLine="600" w:firstLineChars="250"/>
        <w:rPr>
          <w:rFonts w:ascii="宋体" w:hAnsi="宋体"/>
          <w:color w:val="auto"/>
        </w:rPr>
      </w:pPr>
      <w:r>
        <w:rPr>
          <w:rFonts w:hint="eastAsia" w:ascii="宋体" w:hAnsi="宋体"/>
          <w:color w:val="auto"/>
          <w:sz w:val="24"/>
        </w:rPr>
        <w:t>日          期：</w:t>
      </w:r>
    </w:p>
    <w:p>
      <w:pPr>
        <w:spacing w:line="360" w:lineRule="auto"/>
        <w:jc w:val="center"/>
        <w:rPr>
          <w:rFonts w:ascii="宋体" w:hAnsi="宋体"/>
          <w:b/>
          <w:bCs/>
          <w:color w:val="auto"/>
          <w:sz w:val="36"/>
        </w:rPr>
      </w:pPr>
    </w:p>
    <w:p>
      <w:pPr>
        <w:spacing w:line="360" w:lineRule="auto"/>
        <w:jc w:val="center"/>
        <w:rPr>
          <w:rFonts w:ascii="宋体" w:hAnsi="宋体"/>
          <w:color w:val="auto"/>
        </w:rPr>
      </w:pPr>
    </w:p>
    <w:p>
      <w:pPr>
        <w:spacing w:line="360" w:lineRule="auto"/>
        <w:jc w:val="center"/>
        <w:rPr>
          <w:rFonts w:ascii="宋体" w:hAnsi="宋体"/>
          <w:color w:val="auto"/>
        </w:rPr>
      </w:pPr>
    </w:p>
    <w:p>
      <w:pPr>
        <w:spacing w:line="360" w:lineRule="auto"/>
        <w:jc w:val="center"/>
        <w:rPr>
          <w:rFonts w:ascii="宋体" w:hAnsi="宋体"/>
          <w:color w:val="auto"/>
        </w:rPr>
      </w:pPr>
    </w:p>
    <w:p>
      <w:pPr>
        <w:spacing w:line="360" w:lineRule="auto"/>
        <w:jc w:val="center"/>
        <w:rPr>
          <w:rFonts w:ascii="宋体" w:hAnsi="宋体"/>
          <w:color w:val="auto"/>
        </w:rPr>
      </w:pPr>
    </w:p>
    <w:p>
      <w:pPr>
        <w:spacing w:line="360" w:lineRule="auto"/>
        <w:jc w:val="center"/>
        <w:rPr>
          <w:rFonts w:ascii="宋体" w:hAnsi="宋体"/>
          <w:color w:val="auto"/>
        </w:rPr>
      </w:pPr>
    </w:p>
    <w:p>
      <w:pPr>
        <w:spacing w:line="360" w:lineRule="auto"/>
        <w:jc w:val="center"/>
        <w:rPr>
          <w:rFonts w:ascii="宋体" w:hAnsi="宋体"/>
          <w:color w:val="auto"/>
        </w:rPr>
      </w:pPr>
    </w:p>
    <w:p>
      <w:pPr>
        <w:spacing w:line="360" w:lineRule="auto"/>
        <w:jc w:val="center"/>
        <w:rPr>
          <w:rFonts w:ascii="宋体" w:hAnsi="宋体"/>
          <w:color w:val="auto"/>
        </w:rPr>
      </w:pPr>
    </w:p>
    <w:p>
      <w:pPr>
        <w:spacing w:line="360" w:lineRule="auto"/>
        <w:jc w:val="center"/>
        <w:rPr>
          <w:rFonts w:ascii="宋体" w:hAnsi="宋体"/>
          <w:color w:val="auto"/>
        </w:rPr>
      </w:pPr>
    </w:p>
    <w:p>
      <w:pPr>
        <w:spacing w:line="360" w:lineRule="auto"/>
        <w:jc w:val="center"/>
        <w:rPr>
          <w:rFonts w:ascii="宋体" w:hAnsi="宋体"/>
          <w:color w:val="auto"/>
        </w:rPr>
      </w:pPr>
    </w:p>
    <w:p>
      <w:pPr>
        <w:spacing w:line="360" w:lineRule="auto"/>
        <w:jc w:val="center"/>
        <w:rPr>
          <w:rFonts w:ascii="宋体" w:hAnsi="宋体"/>
          <w:color w:val="auto"/>
        </w:rPr>
      </w:pPr>
    </w:p>
    <w:p>
      <w:pPr>
        <w:spacing w:line="360" w:lineRule="auto"/>
        <w:jc w:val="center"/>
        <w:rPr>
          <w:rFonts w:ascii="宋体" w:hAnsi="宋体"/>
          <w:color w:val="auto"/>
        </w:rPr>
      </w:pPr>
    </w:p>
    <w:p>
      <w:pPr>
        <w:pStyle w:val="9"/>
        <w:snapToGrid w:val="0"/>
        <w:spacing w:line="360" w:lineRule="auto"/>
        <w:ind w:firstLine="0"/>
        <w:jc w:val="center"/>
        <w:outlineLvl w:val="0"/>
        <w:rPr>
          <w:rFonts w:ascii="宋体" w:hAnsi="宋体"/>
          <w:b/>
          <w:bCs/>
          <w:color w:val="auto"/>
          <w:sz w:val="36"/>
        </w:rPr>
      </w:pPr>
      <w:bookmarkStart w:id="63" w:name="_Toc303755020"/>
      <w:bookmarkStart w:id="64" w:name="_Toc352224162"/>
      <w:r>
        <w:rPr>
          <w:rFonts w:hint="eastAsia" w:ascii="宋体" w:hAnsi="宋体"/>
          <w:b/>
          <w:bCs/>
          <w:color w:val="auto"/>
          <w:sz w:val="36"/>
        </w:rPr>
        <w:t>第六章  招标相关附件</w:t>
      </w:r>
      <w:bookmarkEnd w:id="63"/>
      <w:bookmarkEnd w:id="64"/>
    </w:p>
    <w:p>
      <w:pPr>
        <w:spacing w:line="360" w:lineRule="auto"/>
        <w:jc w:val="center"/>
        <w:rPr>
          <w:rFonts w:ascii="宋体" w:hAnsi="宋体"/>
          <w:color w:val="auto"/>
        </w:rPr>
      </w:pPr>
    </w:p>
    <w:p>
      <w:pPr>
        <w:spacing w:line="360" w:lineRule="auto"/>
        <w:outlineLvl w:val="1"/>
        <w:rPr>
          <w:rFonts w:ascii="宋体" w:hAnsi="宋体"/>
          <w:b/>
          <w:color w:val="auto"/>
          <w:sz w:val="24"/>
          <w:szCs w:val="24"/>
        </w:rPr>
      </w:pPr>
      <w:bookmarkStart w:id="65" w:name="附件1：招标文件领取确认函"/>
      <w:bookmarkEnd w:id="65"/>
      <w:bookmarkStart w:id="66" w:name="_Toc303755021"/>
      <w:bookmarkStart w:id="67" w:name="_Toc352224163"/>
      <w:r>
        <w:rPr>
          <w:rFonts w:hint="eastAsia" w:ascii="宋体" w:hAnsi="宋体"/>
          <w:b/>
          <w:color w:val="auto"/>
          <w:sz w:val="24"/>
          <w:szCs w:val="24"/>
        </w:rPr>
        <w:t>附件1：</w:t>
      </w:r>
      <w:bookmarkEnd w:id="66"/>
      <w:bookmarkEnd w:id="67"/>
    </w:p>
    <w:p>
      <w:pPr>
        <w:spacing w:line="360" w:lineRule="auto"/>
        <w:jc w:val="center"/>
        <w:outlineLvl w:val="1"/>
        <w:rPr>
          <w:rFonts w:ascii="宋体" w:hAnsi="宋体"/>
          <w:b/>
          <w:color w:val="auto"/>
          <w:sz w:val="30"/>
          <w:szCs w:val="30"/>
        </w:rPr>
      </w:pPr>
      <w:bookmarkStart w:id="68" w:name="_Toc303755022"/>
      <w:bookmarkStart w:id="69" w:name="_Toc352224164"/>
      <w:r>
        <w:rPr>
          <w:rFonts w:hint="eastAsia" w:ascii="宋体" w:hAnsi="宋体"/>
          <w:b/>
          <w:color w:val="auto"/>
          <w:sz w:val="30"/>
          <w:szCs w:val="30"/>
        </w:rPr>
        <w:t>招标文件领取确认函</w:t>
      </w:r>
      <w:bookmarkEnd w:id="68"/>
      <w:bookmarkEnd w:id="69"/>
    </w:p>
    <w:p>
      <w:pPr>
        <w:spacing w:line="360" w:lineRule="auto"/>
        <w:rPr>
          <w:rFonts w:ascii="宋体" w:hAnsi="宋体"/>
          <w:color w:val="auto"/>
          <w:sz w:val="24"/>
          <w:szCs w:val="24"/>
        </w:rPr>
      </w:pPr>
      <w:r>
        <w:rPr>
          <w:rFonts w:hint="eastAsia" w:ascii="宋体" w:hAnsi="宋体"/>
          <w:b/>
          <w:color w:val="auto"/>
          <w:sz w:val="24"/>
          <w:szCs w:val="24"/>
        </w:rPr>
        <w:t>宁德市恒福招标有限公司</w:t>
      </w:r>
      <w:r>
        <w:rPr>
          <w:rFonts w:hint="eastAsia" w:ascii="宋体" w:hAnsi="宋体"/>
          <w:color w:val="auto"/>
          <w:sz w:val="24"/>
          <w:szCs w:val="24"/>
        </w:rPr>
        <w:t>：</w:t>
      </w:r>
    </w:p>
    <w:p>
      <w:pPr>
        <w:spacing w:line="360" w:lineRule="auto"/>
        <w:ind w:firstLine="600"/>
        <w:rPr>
          <w:rFonts w:ascii="宋体" w:hAnsi="宋体"/>
          <w:color w:val="auto"/>
          <w:sz w:val="24"/>
          <w:szCs w:val="24"/>
        </w:rPr>
      </w:pPr>
    </w:p>
    <w:p>
      <w:pPr>
        <w:spacing w:line="360" w:lineRule="auto"/>
        <w:ind w:firstLine="600"/>
        <w:rPr>
          <w:rFonts w:ascii="宋体" w:hAnsi="宋体"/>
          <w:color w:val="auto"/>
          <w:sz w:val="24"/>
          <w:szCs w:val="24"/>
        </w:rPr>
      </w:pPr>
      <w:r>
        <w:rPr>
          <w:rFonts w:hint="eastAsia" w:ascii="宋体" w:hAnsi="宋体"/>
          <w:color w:val="auto"/>
          <w:sz w:val="24"/>
          <w:szCs w:val="24"/>
        </w:rPr>
        <w:t>我公司于年月日通过</w:t>
      </w:r>
      <w:r>
        <w:rPr>
          <w:rFonts w:hint="eastAsia" w:ascii="宋体" w:hAnsi="宋体"/>
          <w:color w:val="auto"/>
          <w:sz w:val="24"/>
          <w:szCs w:val="24"/>
          <w:u w:val="single"/>
        </w:rPr>
        <w:t xml:space="preserve">         （领取方式）</w:t>
      </w:r>
      <w:r>
        <w:rPr>
          <w:rFonts w:hint="eastAsia" w:ascii="宋体" w:hAnsi="宋体"/>
          <w:color w:val="auto"/>
          <w:sz w:val="24"/>
          <w:szCs w:val="24"/>
        </w:rPr>
        <w:t>领取了招标文件（招标编号:项目名称：合同包：），愿意投标此次招标项目。若招标文件需进行实质性修改时请发函通知。</w:t>
      </w:r>
    </w:p>
    <w:p>
      <w:pPr>
        <w:spacing w:line="360" w:lineRule="auto"/>
        <w:ind w:firstLine="600"/>
        <w:rPr>
          <w:rFonts w:ascii="宋体" w:hAnsi="宋体"/>
          <w:color w:val="auto"/>
          <w:sz w:val="24"/>
          <w:szCs w:val="24"/>
        </w:rPr>
      </w:pPr>
    </w:p>
    <w:p>
      <w:pPr>
        <w:spacing w:line="360" w:lineRule="auto"/>
        <w:ind w:firstLine="600"/>
        <w:rPr>
          <w:rFonts w:ascii="宋体" w:hAnsi="宋体"/>
          <w:color w:val="auto"/>
          <w:sz w:val="24"/>
          <w:szCs w:val="24"/>
        </w:rPr>
      </w:pPr>
    </w:p>
    <w:p>
      <w:pPr>
        <w:spacing w:line="360" w:lineRule="auto"/>
        <w:ind w:firstLine="600"/>
        <w:rPr>
          <w:rFonts w:ascii="宋体" w:hAnsi="宋体"/>
          <w:color w:val="auto"/>
          <w:sz w:val="24"/>
          <w:szCs w:val="24"/>
        </w:rPr>
      </w:pPr>
    </w:p>
    <w:p>
      <w:pPr>
        <w:spacing w:line="360" w:lineRule="auto"/>
        <w:ind w:firstLine="600"/>
        <w:rPr>
          <w:rFonts w:ascii="宋体" w:hAnsi="宋体"/>
          <w:color w:val="auto"/>
          <w:sz w:val="24"/>
          <w:szCs w:val="24"/>
          <w:u w:val="single"/>
        </w:rPr>
      </w:pPr>
      <w:r>
        <w:rPr>
          <w:rFonts w:hint="eastAsia" w:ascii="宋体" w:hAnsi="宋体"/>
          <w:color w:val="auto"/>
          <w:kern w:val="18"/>
          <w:sz w:val="24"/>
          <w:szCs w:val="24"/>
        </w:rPr>
        <w:t>法定代表人签字:</w:t>
      </w:r>
    </w:p>
    <w:p>
      <w:pPr>
        <w:spacing w:line="360" w:lineRule="auto"/>
        <w:ind w:firstLine="600"/>
        <w:rPr>
          <w:rFonts w:ascii="宋体" w:hAnsi="宋体"/>
          <w:color w:val="auto"/>
          <w:sz w:val="24"/>
          <w:szCs w:val="24"/>
          <w:u w:val="single"/>
        </w:rPr>
      </w:pPr>
      <w:r>
        <w:rPr>
          <w:rFonts w:hint="eastAsia" w:ascii="宋体" w:hAnsi="宋体"/>
          <w:color w:val="auto"/>
          <w:sz w:val="24"/>
          <w:szCs w:val="24"/>
        </w:rPr>
        <w:t>投标授权代表签字:</w:t>
      </w:r>
    </w:p>
    <w:p>
      <w:pPr>
        <w:spacing w:line="360" w:lineRule="auto"/>
        <w:ind w:firstLine="600"/>
        <w:rPr>
          <w:rFonts w:ascii="宋体" w:hAnsi="宋体"/>
          <w:color w:val="auto"/>
          <w:sz w:val="24"/>
          <w:szCs w:val="24"/>
          <w:u w:val="single"/>
        </w:rPr>
      </w:pPr>
      <w:r>
        <w:rPr>
          <w:rFonts w:hint="eastAsia" w:ascii="宋体" w:hAnsi="宋体"/>
          <w:color w:val="auto"/>
          <w:sz w:val="24"/>
          <w:szCs w:val="24"/>
        </w:rPr>
        <w:t>联系人:</w:t>
      </w:r>
    </w:p>
    <w:p>
      <w:pPr>
        <w:spacing w:line="360" w:lineRule="auto"/>
        <w:ind w:firstLine="600"/>
        <w:rPr>
          <w:rFonts w:ascii="宋体" w:hAnsi="宋体"/>
          <w:color w:val="auto"/>
          <w:sz w:val="24"/>
          <w:szCs w:val="24"/>
          <w:u w:val="single"/>
        </w:rPr>
      </w:pPr>
      <w:r>
        <w:rPr>
          <w:rFonts w:hint="eastAsia" w:ascii="宋体" w:hAnsi="宋体"/>
          <w:color w:val="auto"/>
          <w:sz w:val="24"/>
          <w:szCs w:val="24"/>
        </w:rPr>
        <w:t>联系电话:</w:t>
      </w:r>
    </w:p>
    <w:p>
      <w:pPr>
        <w:spacing w:line="360" w:lineRule="auto"/>
        <w:ind w:firstLine="600"/>
        <w:rPr>
          <w:rFonts w:ascii="宋体" w:hAnsi="宋体"/>
          <w:color w:val="auto"/>
          <w:sz w:val="24"/>
          <w:szCs w:val="24"/>
          <w:u w:val="single"/>
        </w:rPr>
      </w:pPr>
      <w:r>
        <w:rPr>
          <w:rFonts w:hint="eastAsia" w:ascii="宋体" w:hAnsi="宋体"/>
          <w:color w:val="auto"/>
          <w:sz w:val="24"/>
          <w:szCs w:val="24"/>
        </w:rPr>
        <w:t>传真:</w:t>
      </w:r>
    </w:p>
    <w:p>
      <w:pPr>
        <w:spacing w:line="360" w:lineRule="auto"/>
        <w:ind w:firstLine="600"/>
        <w:rPr>
          <w:rFonts w:ascii="宋体" w:hAnsi="宋体"/>
          <w:color w:val="auto"/>
          <w:sz w:val="24"/>
          <w:szCs w:val="24"/>
          <w:u w:val="single"/>
        </w:rPr>
      </w:pPr>
      <w:r>
        <w:rPr>
          <w:rFonts w:hint="eastAsia" w:ascii="宋体" w:hAnsi="宋体"/>
          <w:color w:val="auto"/>
          <w:sz w:val="24"/>
          <w:szCs w:val="24"/>
        </w:rPr>
        <w:t>地址:</w:t>
      </w:r>
    </w:p>
    <w:p>
      <w:pPr>
        <w:spacing w:line="360" w:lineRule="auto"/>
        <w:ind w:firstLine="600"/>
        <w:rPr>
          <w:rFonts w:ascii="宋体" w:hAnsi="宋体"/>
          <w:color w:val="auto"/>
          <w:sz w:val="24"/>
          <w:szCs w:val="24"/>
          <w:u w:val="single"/>
        </w:rPr>
      </w:pPr>
      <w:r>
        <w:rPr>
          <w:rFonts w:hint="eastAsia" w:ascii="宋体" w:hAnsi="宋体"/>
          <w:color w:val="auto"/>
          <w:sz w:val="24"/>
          <w:szCs w:val="24"/>
        </w:rPr>
        <w:t>邮编:</w:t>
      </w:r>
    </w:p>
    <w:p>
      <w:pPr>
        <w:spacing w:line="360" w:lineRule="auto"/>
        <w:ind w:firstLine="600"/>
        <w:rPr>
          <w:rFonts w:ascii="宋体" w:hAnsi="宋体"/>
          <w:color w:val="auto"/>
          <w:sz w:val="24"/>
          <w:szCs w:val="24"/>
        </w:rPr>
      </w:pPr>
      <w:r>
        <w:rPr>
          <w:rFonts w:hint="eastAsia" w:ascii="宋体" w:hAnsi="宋体"/>
          <w:color w:val="auto"/>
          <w:sz w:val="24"/>
          <w:szCs w:val="24"/>
        </w:rPr>
        <w:t>电子邮箱：</w:t>
      </w:r>
    </w:p>
    <w:p>
      <w:pPr>
        <w:spacing w:line="360" w:lineRule="auto"/>
        <w:ind w:firstLine="600"/>
        <w:rPr>
          <w:rFonts w:ascii="宋体" w:hAnsi="宋体"/>
          <w:color w:val="auto"/>
          <w:sz w:val="24"/>
          <w:szCs w:val="24"/>
        </w:rPr>
      </w:pPr>
    </w:p>
    <w:p>
      <w:pPr>
        <w:spacing w:line="360" w:lineRule="auto"/>
        <w:ind w:firstLine="600"/>
        <w:rPr>
          <w:rFonts w:ascii="宋体" w:hAnsi="宋体"/>
          <w:color w:val="auto"/>
          <w:sz w:val="24"/>
          <w:szCs w:val="24"/>
        </w:rPr>
      </w:pPr>
    </w:p>
    <w:p>
      <w:pPr>
        <w:spacing w:line="360" w:lineRule="auto"/>
        <w:ind w:firstLine="1920" w:firstLineChars="800"/>
        <w:rPr>
          <w:rFonts w:ascii="宋体" w:hAnsi="宋体"/>
          <w:color w:val="auto"/>
          <w:sz w:val="24"/>
          <w:szCs w:val="24"/>
          <w:u w:val="single"/>
        </w:rPr>
      </w:pPr>
      <w:r>
        <w:rPr>
          <w:rFonts w:hint="eastAsia" w:ascii="宋体" w:hAnsi="宋体"/>
          <w:color w:val="auto"/>
          <w:sz w:val="24"/>
          <w:szCs w:val="24"/>
        </w:rPr>
        <w:t>投标人（全称并加盖公章）：</w:t>
      </w:r>
    </w:p>
    <w:p>
      <w:pPr>
        <w:spacing w:line="360" w:lineRule="auto"/>
        <w:ind w:firstLine="3960" w:firstLineChars="1650"/>
        <w:rPr>
          <w:rFonts w:ascii="宋体" w:hAnsi="宋体"/>
          <w:color w:val="auto"/>
          <w:sz w:val="24"/>
          <w:szCs w:val="24"/>
          <w:u w:val="single"/>
        </w:rPr>
      </w:pPr>
      <w:r>
        <w:rPr>
          <w:rFonts w:hint="eastAsia" w:ascii="宋体" w:hAnsi="宋体"/>
          <w:color w:val="auto"/>
          <w:sz w:val="24"/>
          <w:szCs w:val="24"/>
        </w:rPr>
        <w:t>日  期:</w:t>
      </w:r>
      <w:r>
        <w:rPr>
          <w:rFonts w:hint="eastAsia" w:ascii="宋体" w:hAnsi="宋体"/>
          <w:color w:val="auto"/>
          <w:sz w:val="24"/>
          <w:szCs w:val="24"/>
          <w:u w:val="single"/>
        </w:rPr>
        <w:t xml:space="preserve">       年    月    日</w:t>
      </w:r>
    </w:p>
    <w:p>
      <w:pPr>
        <w:spacing w:line="360" w:lineRule="auto"/>
        <w:ind w:firstLine="3960" w:firstLineChars="1650"/>
        <w:rPr>
          <w:rFonts w:ascii="宋体" w:hAnsi="宋体"/>
          <w:color w:val="auto"/>
          <w:sz w:val="24"/>
          <w:szCs w:val="24"/>
          <w:u w:val="single"/>
        </w:rPr>
      </w:pPr>
    </w:p>
    <w:p>
      <w:pPr>
        <w:spacing w:line="360" w:lineRule="auto"/>
        <w:ind w:firstLine="3960" w:firstLineChars="1650"/>
        <w:rPr>
          <w:rFonts w:ascii="宋体" w:hAnsi="宋体"/>
          <w:color w:val="auto"/>
          <w:sz w:val="24"/>
          <w:szCs w:val="24"/>
          <w:u w:val="single"/>
        </w:rPr>
      </w:pPr>
    </w:p>
    <w:p>
      <w:pPr>
        <w:spacing w:line="360" w:lineRule="auto"/>
        <w:ind w:firstLine="3960" w:firstLineChars="1650"/>
        <w:rPr>
          <w:rFonts w:ascii="宋体" w:hAnsi="宋体"/>
          <w:color w:val="auto"/>
          <w:sz w:val="24"/>
          <w:szCs w:val="24"/>
          <w:u w:val="single"/>
        </w:rPr>
      </w:pPr>
    </w:p>
    <w:p>
      <w:pPr>
        <w:spacing w:line="360" w:lineRule="auto"/>
        <w:ind w:firstLine="3960" w:firstLineChars="1650"/>
        <w:rPr>
          <w:rFonts w:ascii="宋体" w:hAnsi="宋体"/>
          <w:color w:val="auto"/>
          <w:sz w:val="24"/>
          <w:szCs w:val="24"/>
          <w:u w:val="single"/>
        </w:rPr>
      </w:pPr>
    </w:p>
    <w:p>
      <w:pPr>
        <w:spacing w:line="360" w:lineRule="auto"/>
        <w:ind w:firstLine="3960" w:firstLineChars="1650"/>
        <w:rPr>
          <w:rFonts w:ascii="宋体" w:hAnsi="宋体"/>
          <w:color w:val="auto"/>
          <w:sz w:val="24"/>
          <w:szCs w:val="24"/>
          <w:u w:val="single"/>
        </w:rPr>
      </w:pPr>
    </w:p>
    <w:p>
      <w:pPr>
        <w:spacing w:line="360" w:lineRule="auto"/>
        <w:outlineLvl w:val="1"/>
        <w:rPr>
          <w:rFonts w:ascii="宋体" w:hAnsi="宋体"/>
          <w:b/>
          <w:color w:val="auto"/>
          <w:sz w:val="24"/>
        </w:rPr>
      </w:pPr>
      <w:bookmarkStart w:id="70" w:name="_Toc369361743"/>
      <w:bookmarkStart w:id="71" w:name="_Toc369364417"/>
      <w:bookmarkStart w:id="72" w:name="_Toc373399912"/>
      <w:bookmarkStart w:id="73" w:name="_Toc369100014"/>
    </w:p>
    <w:p>
      <w:pPr>
        <w:spacing w:line="360" w:lineRule="auto"/>
        <w:outlineLvl w:val="1"/>
        <w:rPr>
          <w:rFonts w:ascii="宋体" w:hAnsi="宋体"/>
          <w:b/>
          <w:color w:val="auto"/>
          <w:sz w:val="24"/>
        </w:rPr>
      </w:pPr>
      <w:r>
        <w:rPr>
          <w:rFonts w:hint="eastAsia" w:ascii="宋体" w:hAnsi="宋体"/>
          <w:b/>
          <w:color w:val="auto"/>
          <w:sz w:val="24"/>
        </w:rPr>
        <w:t>附件2：</w:t>
      </w:r>
      <w:bookmarkEnd w:id="70"/>
      <w:bookmarkEnd w:id="71"/>
      <w:bookmarkEnd w:id="72"/>
      <w:bookmarkEnd w:id="73"/>
    </w:p>
    <w:p>
      <w:pPr>
        <w:spacing w:line="360" w:lineRule="auto"/>
        <w:jc w:val="center"/>
        <w:rPr>
          <w:rFonts w:ascii="宋体" w:hAnsi="宋体" w:cs="宋体"/>
          <w:b/>
          <w:bCs/>
          <w:color w:val="auto"/>
          <w:sz w:val="30"/>
          <w:szCs w:val="30"/>
        </w:rPr>
      </w:pPr>
      <w:r>
        <w:rPr>
          <w:rFonts w:hint="eastAsia" w:ascii="宋体" w:hAnsi="宋体" w:cs="宋体"/>
          <w:b/>
          <w:bCs/>
          <w:color w:val="auto"/>
          <w:sz w:val="30"/>
          <w:szCs w:val="30"/>
        </w:rPr>
        <w:t>质疑函范本</w:t>
      </w:r>
    </w:p>
    <w:p>
      <w:pPr>
        <w:adjustRightInd w:val="0"/>
        <w:snapToGrid w:val="0"/>
        <w:spacing w:beforeLines="100" w:line="360" w:lineRule="auto"/>
        <w:rPr>
          <w:rFonts w:ascii="宋体" w:hAnsi="宋体" w:cs="宋体"/>
          <w:bCs/>
          <w:color w:val="auto"/>
          <w:sz w:val="24"/>
          <w:szCs w:val="24"/>
        </w:rPr>
      </w:pPr>
      <w:r>
        <w:rPr>
          <w:rFonts w:hint="eastAsia" w:ascii="宋体" w:hAnsi="宋体" w:cs="宋体"/>
          <w:bCs/>
          <w:color w:val="auto"/>
          <w:sz w:val="24"/>
          <w:szCs w:val="24"/>
        </w:rPr>
        <w:t>一、质疑供应商基本信息</w:t>
      </w:r>
    </w:p>
    <w:p>
      <w:pPr>
        <w:spacing w:line="360" w:lineRule="auto"/>
        <w:rPr>
          <w:rFonts w:ascii="宋体" w:hAnsi="宋体" w:cs="宋体"/>
          <w:color w:val="auto"/>
          <w:sz w:val="24"/>
          <w:szCs w:val="24"/>
        </w:rPr>
      </w:pPr>
      <w:r>
        <w:rPr>
          <w:rFonts w:hint="eastAsia" w:ascii="宋体" w:hAnsi="宋体" w:cs="宋体"/>
          <w:color w:val="auto"/>
          <w:sz w:val="24"/>
          <w:szCs w:val="24"/>
        </w:rPr>
        <w:t>质疑供应商：</w:t>
      </w:r>
    </w:p>
    <w:p>
      <w:pPr>
        <w:spacing w:line="360" w:lineRule="auto"/>
        <w:rPr>
          <w:rFonts w:ascii="宋体" w:hAnsi="宋体" w:cs="宋体"/>
          <w:color w:val="auto"/>
          <w:sz w:val="24"/>
          <w:szCs w:val="24"/>
        </w:rPr>
      </w:pPr>
      <w:r>
        <w:rPr>
          <w:rFonts w:hint="eastAsia" w:ascii="宋体" w:hAnsi="宋体" w:cs="宋体"/>
          <w:color w:val="auto"/>
          <w:sz w:val="24"/>
          <w:szCs w:val="24"/>
        </w:rPr>
        <w:t>地址：　　　　　　　　　　　邮编：</w:t>
      </w:r>
    </w:p>
    <w:p>
      <w:pPr>
        <w:spacing w:line="360" w:lineRule="auto"/>
        <w:rPr>
          <w:rFonts w:ascii="宋体" w:hAnsi="宋体" w:cs="宋体"/>
          <w:color w:val="auto"/>
          <w:sz w:val="24"/>
          <w:szCs w:val="24"/>
        </w:rPr>
      </w:pPr>
      <w:r>
        <w:rPr>
          <w:rFonts w:hint="eastAsia" w:ascii="宋体" w:hAnsi="宋体" w:cs="宋体"/>
          <w:color w:val="auto"/>
          <w:sz w:val="24"/>
          <w:szCs w:val="24"/>
        </w:rPr>
        <w:t>联系人：                    联系电话：</w:t>
      </w:r>
    </w:p>
    <w:p>
      <w:pPr>
        <w:spacing w:line="360" w:lineRule="auto"/>
        <w:rPr>
          <w:rFonts w:ascii="宋体" w:hAnsi="宋体" w:cs="宋体"/>
          <w:color w:val="auto"/>
          <w:sz w:val="24"/>
          <w:szCs w:val="24"/>
        </w:rPr>
      </w:pPr>
      <w:r>
        <w:rPr>
          <w:rFonts w:hint="eastAsia" w:ascii="宋体" w:hAnsi="宋体" w:cs="宋体"/>
          <w:color w:val="auto"/>
          <w:sz w:val="24"/>
          <w:szCs w:val="24"/>
        </w:rPr>
        <w:t>法定代表人：</w:t>
      </w:r>
    </w:p>
    <w:p>
      <w:pPr>
        <w:spacing w:line="360" w:lineRule="auto"/>
        <w:rPr>
          <w:rFonts w:ascii="宋体" w:hAnsi="宋体" w:cs="宋体"/>
          <w:color w:val="auto"/>
          <w:sz w:val="24"/>
          <w:szCs w:val="24"/>
        </w:rPr>
      </w:pPr>
      <w:r>
        <w:rPr>
          <w:rFonts w:hint="eastAsia" w:ascii="宋体" w:hAnsi="宋体" w:cs="宋体"/>
          <w:color w:val="auto"/>
          <w:sz w:val="24"/>
          <w:szCs w:val="24"/>
        </w:rPr>
        <w:t>授权代表：</w:t>
      </w:r>
    </w:p>
    <w:p>
      <w:pPr>
        <w:spacing w:line="360" w:lineRule="auto"/>
        <w:rPr>
          <w:rFonts w:ascii="宋体" w:hAnsi="宋体" w:cs="宋体"/>
          <w:color w:val="auto"/>
          <w:sz w:val="24"/>
          <w:szCs w:val="24"/>
        </w:rPr>
      </w:pPr>
      <w:r>
        <w:rPr>
          <w:rFonts w:hint="eastAsia" w:ascii="宋体" w:hAnsi="宋体" w:cs="宋体"/>
          <w:color w:val="auto"/>
          <w:sz w:val="24"/>
          <w:szCs w:val="24"/>
        </w:rPr>
        <w:t>联系电话：</w:t>
      </w:r>
    </w:p>
    <w:p>
      <w:pPr>
        <w:spacing w:line="360" w:lineRule="auto"/>
        <w:rPr>
          <w:rFonts w:ascii="宋体" w:hAnsi="宋体" w:cs="宋体"/>
          <w:color w:val="auto"/>
          <w:sz w:val="24"/>
          <w:szCs w:val="24"/>
        </w:rPr>
      </w:pPr>
      <w:r>
        <w:rPr>
          <w:rFonts w:hint="eastAsia" w:ascii="宋体" w:hAnsi="宋体" w:cs="宋体"/>
          <w:color w:val="auto"/>
          <w:sz w:val="24"/>
          <w:szCs w:val="24"/>
        </w:rPr>
        <w:t>地址：　　　　　　　　　　　邮编：</w:t>
      </w:r>
    </w:p>
    <w:p>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二、质疑项目基本情况</w:t>
      </w:r>
    </w:p>
    <w:p>
      <w:pPr>
        <w:spacing w:line="360" w:lineRule="auto"/>
        <w:rPr>
          <w:rFonts w:ascii="宋体" w:hAnsi="宋体" w:cs="宋体"/>
          <w:color w:val="auto"/>
          <w:sz w:val="24"/>
          <w:szCs w:val="24"/>
        </w:rPr>
      </w:pPr>
      <w:r>
        <w:rPr>
          <w:rFonts w:hint="eastAsia" w:ascii="宋体" w:hAnsi="宋体" w:cs="宋体"/>
          <w:color w:val="auto"/>
          <w:sz w:val="24"/>
          <w:szCs w:val="24"/>
        </w:rPr>
        <w:t>质疑项目的名称：</w:t>
      </w:r>
    </w:p>
    <w:p>
      <w:pPr>
        <w:spacing w:line="360" w:lineRule="auto"/>
        <w:rPr>
          <w:rFonts w:ascii="宋体" w:hAnsi="宋体" w:cs="宋体"/>
          <w:color w:val="auto"/>
          <w:sz w:val="24"/>
          <w:szCs w:val="24"/>
        </w:rPr>
      </w:pPr>
      <w:r>
        <w:rPr>
          <w:rFonts w:hint="eastAsia" w:ascii="宋体" w:hAnsi="宋体" w:cs="宋体"/>
          <w:color w:val="auto"/>
          <w:sz w:val="24"/>
          <w:szCs w:val="24"/>
        </w:rPr>
        <w:t>质疑项目的编号：            包号：</w:t>
      </w:r>
    </w:p>
    <w:p>
      <w:pPr>
        <w:spacing w:line="360" w:lineRule="auto"/>
        <w:rPr>
          <w:rFonts w:ascii="宋体" w:hAnsi="宋体" w:cs="宋体"/>
          <w:color w:val="auto"/>
          <w:sz w:val="24"/>
          <w:szCs w:val="24"/>
        </w:rPr>
      </w:pPr>
      <w:r>
        <w:rPr>
          <w:rFonts w:hint="eastAsia" w:ascii="宋体" w:hAnsi="宋体" w:cs="宋体"/>
          <w:color w:val="auto"/>
          <w:sz w:val="24"/>
          <w:szCs w:val="24"/>
        </w:rPr>
        <w:t>采购人名称：</w:t>
      </w:r>
    </w:p>
    <w:p>
      <w:pPr>
        <w:spacing w:line="360" w:lineRule="auto"/>
        <w:rPr>
          <w:rFonts w:ascii="宋体" w:hAnsi="宋体" w:cs="宋体"/>
          <w:color w:val="auto"/>
          <w:sz w:val="24"/>
          <w:szCs w:val="24"/>
        </w:rPr>
      </w:pPr>
      <w:r>
        <w:rPr>
          <w:rFonts w:hint="eastAsia" w:ascii="宋体" w:hAnsi="宋体" w:cs="宋体"/>
          <w:color w:val="auto"/>
          <w:sz w:val="24"/>
          <w:szCs w:val="24"/>
        </w:rPr>
        <w:t xml:space="preserve">被质疑人名称： </w:t>
      </w:r>
    </w:p>
    <w:p>
      <w:pPr>
        <w:spacing w:line="360" w:lineRule="auto"/>
        <w:rPr>
          <w:rFonts w:ascii="宋体" w:hAnsi="宋体" w:cs="宋体"/>
          <w:color w:val="auto"/>
          <w:sz w:val="24"/>
          <w:szCs w:val="24"/>
        </w:rPr>
      </w:pPr>
      <w:r>
        <w:rPr>
          <w:rFonts w:hint="eastAsia" w:ascii="宋体" w:hAnsi="宋体" w:cs="宋体"/>
          <w:color w:val="auto"/>
          <w:sz w:val="24"/>
          <w:szCs w:val="24"/>
        </w:rPr>
        <w:t>采购文件获取日期：</w:t>
      </w:r>
    </w:p>
    <w:p>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三、质疑事项具体内容</w:t>
      </w:r>
    </w:p>
    <w:p>
      <w:pPr>
        <w:spacing w:line="360" w:lineRule="auto"/>
        <w:rPr>
          <w:rFonts w:ascii="宋体" w:hAnsi="宋体" w:cs="宋体"/>
          <w:color w:val="auto"/>
          <w:sz w:val="24"/>
          <w:szCs w:val="24"/>
        </w:rPr>
      </w:pPr>
      <w:r>
        <w:rPr>
          <w:rFonts w:hint="eastAsia" w:ascii="宋体" w:hAnsi="宋体" w:cs="宋体"/>
          <w:color w:val="auto"/>
          <w:sz w:val="24"/>
          <w:szCs w:val="24"/>
        </w:rPr>
        <w:t>质疑事项1：</w:t>
      </w:r>
    </w:p>
    <w:p>
      <w:pPr>
        <w:spacing w:line="360" w:lineRule="auto"/>
        <w:rPr>
          <w:rFonts w:ascii="宋体" w:hAnsi="宋体" w:cs="宋体"/>
          <w:color w:val="auto"/>
          <w:sz w:val="24"/>
          <w:szCs w:val="24"/>
        </w:rPr>
      </w:pPr>
      <w:r>
        <w:rPr>
          <w:rFonts w:hint="eastAsia" w:ascii="宋体" w:hAnsi="宋体" w:cs="宋体"/>
          <w:color w:val="auto"/>
          <w:sz w:val="24"/>
          <w:szCs w:val="24"/>
        </w:rPr>
        <w:t>事实依据：</w:t>
      </w: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r>
        <w:rPr>
          <w:rFonts w:hint="eastAsia" w:ascii="宋体" w:hAnsi="宋体" w:cs="宋体"/>
          <w:color w:val="auto"/>
          <w:sz w:val="24"/>
          <w:szCs w:val="24"/>
        </w:rPr>
        <w:t>法律依据：</w:t>
      </w: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r>
        <w:rPr>
          <w:rFonts w:hint="eastAsia" w:ascii="宋体" w:hAnsi="宋体" w:cs="宋体"/>
          <w:color w:val="auto"/>
          <w:sz w:val="24"/>
          <w:szCs w:val="24"/>
        </w:rPr>
        <w:t>质疑事项2</w:t>
      </w:r>
    </w:p>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w:t>
      </w:r>
    </w:p>
    <w:p>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四、与质疑事项相关的质疑请求</w:t>
      </w:r>
    </w:p>
    <w:p>
      <w:pPr>
        <w:widowControl/>
        <w:spacing w:line="360" w:lineRule="auto"/>
        <w:jc w:val="left"/>
        <w:rPr>
          <w:rFonts w:ascii="宋体" w:hAnsi="宋体" w:cs="宋体"/>
          <w:color w:val="auto"/>
          <w:sz w:val="24"/>
          <w:szCs w:val="24"/>
        </w:rPr>
      </w:pPr>
      <w:r>
        <w:rPr>
          <w:rFonts w:hint="eastAsia" w:ascii="宋体" w:hAnsi="宋体" w:cs="宋体"/>
          <w:color w:val="auto"/>
          <w:sz w:val="24"/>
          <w:szCs w:val="24"/>
        </w:rPr>
        <w:t>请求：</w:t>
      </w:r>
    </w:p>
    <w:p>
      <w:pPr>
        <w:spacing w:line="360" w:lineRule="auto"/>
        <w:rPr>
          <w:rFonts w:ascii="宋体" w:hAnsi="宋体" w:cs="宋体"/>
          <w:color w:val="auto"/>
          <w:sz w:val="24"/>
          <w:szCs w:val="24"/>
        </w:rPr>
      </w:pPr>
      <w:r>
        <w:rPr>
          <w:rFonts w:hint="eastAsia" w:ascii="宋体" w:hAnsi="宋体" w:cs="宋体"/>
          <w:color w:val="auto"/>
          <w:sz w:val="24"/>
          <w:szCs w:val="24"/>
        </w:rPr>
        <w:t xml:space="preserve">签字(签章)：                   公章：                      </w:t>
      </w:r>
    </w:p>
    <w:p>
      <w:pPr>
        <w:spacing w:line="360" w:lineRule="auto"/>
        <w:rPr>
          <w:rFonts w:ascii="宋体" w:hAnsi="宋体" w:cs="宋体"/>
          <w:color w:val="auto"/>
          <w:sz w:val="24"/>
          <w:szCs w:val="24"/>
        </w:rPr>
      </w:pPr>
      <w:r>
        <w:rPr>
          <w:rFonts w:hint="eastAsia" w:ascii="宋体" w:hAnsi="宋体" w:cs="宋体"/>
          <w:color w:val="auto"/>
          <w:sz w:val="24"/>
          <w:szCs w:val="24"/>
        </w:rPr>
        <w:t xml:space="preserve">日期：    </w:t>
      </w:r>
    </w:p>
    <w:p>
      <w:pPr>
        <w:spacing w:line="360" w:lineRule="auto"/>
        <w:rPr>
          <w:rFonts w:ascii="宋体" w:hAnsi="宋体" w:cs="宋体"/>
          <w:b/>
          <w:color w:val="auto"/>
          <w:sz w:val="24"/>
          <w:szCs w:val="24"/>
        </w:rPr>
      </w:pPr>
    </w:p>
    <w:p>
      <w:pPr>
        <w:spacing w:line="360" w:lineRule="auto"/>
        <w:rPr>
          <w:rFonts w:ascii="宋体" w:hAnsi="宋体" w:cs="宋体"/>
          <w:b/>
          <w:color w:val="auto"/>
          <w:sz w:val="24"/>
          <w:szCs w:val="24"/>
        </w:rPr>
      </w:pPr>
      <w:r>
        <w:rPr>
          <w:rFonts w:hint="eastAsia" w:ascii="宋体" w:hAnsi="宋体" w:cs="宋体"/>
          <w:b/>
          <w:color w:val="auto"/>
          <w:sz w:val="24"/>
          <w:szCs w:val="24"/>
        </w:rPr>
        <w:t>质疑函制作说明：</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1.供应商提出质疑时，应提交质疑函和必要的证明材料。质疑材料中有外文资料的，应一并附上中文译本，并以中文译本为准</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2.质疑供应商若委托代理人进行质疑的，质疑函应按要求列明“授权代表”的有关内容，并在附件中提交由质疑</w:t>
      </w:r>
      <w:r>
        <w:rPr>
          <w:rFonts w:hint="eastAsia" w:ascii="宋体" w:hAnsi="宋体" w:cs="宋体"/>
          <w:color w:val="auto"/>
          <w:kern w:val="0"/>
          <w:sz w:val="24"/>
          <w:szCs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5.质疑函的质疑请求应与质疑事项相关。</w:t>
      </w:r>
    </w:p>
    <w:p>
      <w:pPr>
        <w:spacing w:line="360" w:lineRule="auto"/>
        <w:ind w:firstLine="480" w:firstLineChars="200"/>
        <w:jc w:val="left"/>
        <w:rPr>
          <w:rFonts w:ascii="宋体" w:hAnsi="宋体"/>
          <w:color w:val="auto"/>
          <w:sz w:val="24"/>
        </w:rPr>
      </w:pPr>
      <w:r>
        <w:rPr>
          <w:rFonts w:hint="eastAsia" w:ascii="宋体" w:hAnsi="宋体" w:cs="宋体"/>
          <w:color w:val="auto"/>
          <w:sz w:val="24"/>
          <w:szCs w:val="24"/>
        </w:rPr>
        <w:t>6.质疑供应商为自然人的，质疑函应由本人签字；质疑供应商为法人或者其他组织的，质疑函应由法定代表人、主要负责人，或者其授权代表签字或者盖章，并加盖公章。</w:t>
      </w:r>
    </w:p>
    <w:p>
      <w:pPr>
        <w:spacing w:line="360" w:lineRule="auto"/>
        <w:ind w:left="1" w:firstLine="470" w:firstLineChars="195"/>
        <w:jc w:val="left"/>
        <w:rPr>
          <w:rFonts w:ascii="宋体" w:hAnsi="宋体"/>
          <w:b/>
          <w:color w:val="auto"/>
          <w:sz w:val="24"/>
        </w:rPr>
      </w:pPr>
    </w:p>
    <w:p>
      <w:pPr>
        <w:spacing w:line="360" w:lineRule="auto"/>
        <w:rPr>
          <w:rFonts w:ascii="宋体" w:hAnsi="宋体"/>
          <w:b/>
          <w:color w:val="auto"/>
          <w:sz w:val="24"/>
          <w:szCs w:val="24"/>
        </w:rPr>
      </w:pPr>
    </w:p>
    <w:p>
      <w:pPr>
        <w:spacing w:line="360" w:lineRule="auto"/>
        <w:rPr>
          <w:rFonts w:ascii="宋体" w:hAnsi="宋体"/>
          <w:b/>
          <w:color w:val="auto"/>
          <w:sz w:val="24"/>
          <w:szCs w:val="24"/>
        </w:rPr>
      </w:pPr>
    </w:p>
    <w:p>
      <w:pPr>
        <w:spacing w:line="360" w:lineRule="auto"/>
        <w:rPr>
          <w:rFonts w:ascii="宋体" w:hAnsi="宋体"/>
          <w:b/>
          <w:color w:val="auto"/>
          <w:sz w:val="24"/>
          <w:szCs w:val="24"/>
        </w:rPr>
      </w:pPr>
    </w:p>
    <w:p>
      <w:pPr>
        <w:spacing w:line="360" w:lineRule="auto"/>
        <w:rPr>
          <w:rFonts w:ascii="宋体" w:hAnsi="宋体"/>
          <w:b/>
          <w:color w:val="auto"/>
          <w:sz w:val="24"/>
          <w:szCs w:val="24"/>
        </w:rPr>
      </w:pPr>
    </w:p>
    <w:p>
      <w:pPr>
        <w:spacing w:line="360" w:lineRule="auto"/>
        <w:rPr>
          <w:rFonts w:ascii="宋体" w:hAnsi="宋体"/>
          <w:b/>
          <w:color w:val="auto"/>
          <w:sz w:val="24"/>
          <w:szCs w:val="24"/>
        </w:rPr>
      </w:pPr>
    </w:p>
    <w:p>
      <w:pPr>
        <w:spacing w:line="360" w:lineRule="auto"/>
        <w:rPr>
          <w:rFonts w:ascii="宋体" w:hAnsi="宋体"/>
          <w:b/>
          <w:color w:val="auto"/>
          <w:sz w:val="24"/>
          <w:szCs w:val="24"/>
        </w:rPr>
      </w:pPr>
    </w:p>
    <w:p>
      <w:pPr>
        <w:spacing w:line="360" w:lineRule="auto"/>
        <w:rPr>
          <w:rFonts w:ascii="宋体" w:hAnsi="宋体"/>
          <w:color w:val="auto"/>
        </w:rPr>
      </w:pPr>
      <w:r>
        <w:rPr>
          <w:rFonts w:ascii="宋体" w:hAnsi="宋体"/>
          <w:color w:val="auto"/>
        </w:rPr>
        <w:drawing>
          <wp:anchor distT="0" distB="0" distL="114300" distR="114300" simplePos="0" relativeHeight="251662336" behindDoc="0" locked="0" layoutInCell="1" allowOverlap="1">
            <wp:simplePos x="0" y="0"/>
            <wp:positionH relativeFrom="page">
              <wp:posOffset>935990</wp:posOffset>
            </wp:positionH>
            <wp:positionV relativeFrom="page">
              <wp:posOffset>1413510</wp:posOffset>
            </wp:positionV>
            <wp:extent cx="5991225" cy="4772025"/>
            <wp:effectExtent l="0" t="0" r="9525" b="9525"/>
            <wp:wrapSquare wrapText="bothSides"/>
            <wp:docPr id="7" name="Picture 756" descr="标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56" descr="标书"/>
                    <pic:cNvPicPr>
                      <a:picLocks noChangeAspect="1" noChangeArrowheads="1"/>
                    </pic:cNvPicPr>
                  </pic:nvPicPr>
                  <pic:blipFill>
                    <a:blip r:embed="rId10" cstate="print">
                      <a:lum bright="-12000"/>
                      <a:extLst>
                        <a:ext uri="{28A0092B-C50C-407E-A947-70E740481C1C}">
                          <a14:useLocalDpi xmlns:a14="http://schemas.microsoft.com/office/drawing/2010/main" val="0"/>
                        </a:ext>
                      </a:extLst>
                    </a:blip>
                    <a:srcRect/>
                    <a:stretch>
                      <a:fillRect/>
                    </a:stretch>
                  </pic:blipFill>
                  <pic:spPr>
                    <a:xfrm>
                      <a:off x="0" y="0"/>
                      <a:ext cx="5991225" cy="4772025"/>
                    </a:xfrm>
                    <a:prstGeom prst="rect">
                      <a:avLst/>
                    </a:prstGeom>
                    <a:noFill/>
                    <a:ln>
                      <a:noFill/>
                    </a:ln>
                  </pic:spPr>
                </pic:pic>
              </a:graphicData>
            </a:graphic>
          </wp:anchor>
        </w:drawing>
      </w:r>
      <w:bookmarkStart w:id="74" w:name="_Toc352224165"/>
      <w:r>
        <w:rPr>
          <w:rFonts w:hint="eastAsia" w:ascii="宋体" w:hAnsi="宋体"/>
          <w:b/>
          <w:color w:val="auto"/>
          <w:sz w:val="24"/>
          <w:szCs w:val="24"/>
        </w:rPr>
        <w:t>附件3：投标文件标准装订范本</w:t>
      </w:r>
      <w:bookmarkEnd w:id="74"/>
    </w:p>
    <w:sectPr>
      <w:footerReference r:id="rId8" w:type="default"/>
      <w:type w:val="nextColumn"/>
      <w:pgSz w:w="11907" w:h="16840"/>
      <w:pgMar w:top="1134" w:right="1474" w:bottom="1304" w:left="1474" w:header="454" w:footer="624" w:gutter="0"/>
      <w:cols w:space="720" w:num="1"/>
      <w:docGrid w:linePitch="323" w:charSpace="-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roman"/>
    <w:pitch w:val="default"/>
    <w:sig w:usb0="FFFFFFFF" w:usb1="E9FFFFFF" w:usb2="0000003F" w:usb3="00000000" w:csb0="603F01FF" w:csb1="FFFF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1"/>
      </w:rPr>
    </w:pPr>
    <w:r>
      <w:fldChar w:fldCharType="begin"/>
    </w:r>
    <w:r>
      <w:rPr>
        <w:rStyle w:val="41"/>
      </w:rPr>
      <w:instrText xml:space="preserve">PAGE  </w:instrText>
    </w:r>
    <w:r>
      <w:fldChar w:fldCharType="separate"/>
    </w:r>
    <w:r>
      <w:rPr>
        <w:rStyle w:val="41"/>
      </w:rPr>
      <w:t>33</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1"/>
      </w:rPr>
    </w:pPr>
    <w:r>
      <w:fldChar w:fldCharType="begin"/>
    </w:r>
    <w:r>
      <w:rPr>
        <w:rStyle w:val="41"/>
      </w:rPr>
      <w:instrText xml:space="preserve">PAGE  </w:instrText>
    </w:r>
    <w:r>
      <w:fldChar w:fldCharType="end"/>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1"/>
      </w:rPr>
    </w:pPr>
    <w:r>
      <w:fldChar w:fldCharType="begin"/>
    </w:r>
    <w:r>
      <w:rPr>
        <w:rStyle w:val="41"/>
      </w:rPr>
      <w:instrText xml:space="preserve">PAGE  </w:instrText>
    </w:r>
    <w:r>
      <w:fldChar w:fldCharType="separate"/>
    </w:r>
    <w:r>
      <w:rPr>
        <w:rStyle w:val="41"/>
      </w:rPr>
      <w:t>86</w:t>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hd w:val="pct5" w:color="auto" w:fill="auto"/>
      <w:jc w:val="both"/>
    </w:pPr>
    <w:r>
      <w:rPr>
        <w:rFonts w:hint="eastAsia" w:eastAsia="仿宋_GB2312"/>
      </w:rPr>
      <w:t xml:space="preserve">政府采购招标文件         </w:t>
    </w:r>
    <w:r>
      <w:rPr>
        <w:rFonts w:hint="eastAsia" w:ascii="仿宋_GB2312" w:eastAsia="仿宋_GB231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single" w:color="auto" w:sz="6" w:space="0"/>
      </w:pBdr>
      <w:shd w:val="pct5" w:color="auto" w:fill="auto"/>
      <w:jc w:val="both"/>
      <w:rPr>
        <w:rFonts w:ascii="宋体" w:hAnsi="宋体"/>
      </w:rPr>
    </w:pPr>
    <w:r>
      <w:rPr>
        <w:rFonts w:hint="eastAsia" w:ascii="宋体" w:hAnsi="宋体"/>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A522D3"/>
    <w:multiLevelType w:val="singleLevel"/>
    <w:tmpl w:val="C5A522D3"/>
    <w:lvl w:ilvl="0" w:tentative="0">
      <w:start w:val="4"/>
      <w:numFmt w:val="decimal"/>
      <w:suff w:val="nothing"/>
      <w:lvlText w:val="%1、"/>
      <w:lvlJc w:val="left"/>
    </w:lvl>
  </w:abstractNum>
  <w:abstractNum w:abstractNumId="1">
    <w:nsid w:val="FFFFFF82"/>
    <w:multiLevelType w:val="singleLevel"/>
    <w:tmpl w:val="FFFFFF82"/>
    <w:lvl w:ilvl="0" w:tentative="0">
      <w:start w:val="1"/>
      <w:numFmt w:val="bullet"/>
      <w:pStyle w:val="15"/>
      <w:lvlText w:val=""/>
      <w:lvlJc w:val="left"/>
      <w:pPr>
        <w:tabs>
          <w:tab w:val="left" w:pos="926"/>
        </w:tabs>
        <w:ind w:left="926" w:hanging="360"/>
      </w:pPr>
      <w:rPr>
        <w:rFonts w:hint="default" w:ascii="Symbol" w:hAnsi="Symbol"/>
      </w:rPr>
    </w:lvl>
  </w:abstractNum>
  <w:abstractNum w:abstractNumId="2">
    <w:nsid w:val="0000000B"/>
    <w:multiLevelType w:val="singleLevel"/>
    <w:tmpl w:val="0000000B"/>
    <w:lvl w:ilvl="0" w:tentative="0">
      <w:start w:val="1"/>
      <w:numFmt w:val="decimal"/>
      <w:pStyle w:val="5"/>
      <w:lvlText w:val="%1."/>
      <w:lvlJc w:val="left"/>
      <w:pPr>
        <w:tabs>
          <w:tab w:val="left" w:pos="425"/>
        </w:tabs>
        <w:ind w:left="425" w:hanging="425"/>
      </w:pPr>
      <w:rPr>
        <w:rFonts w:hint="eastAsia"/>
      </w:rPr>
    </w:lvl>
  </w:abstractNum>
  <w:abstractNum w:abstractNumId="3">
    <w:nsid w:val="147447DC"/>
    <w:multiLevelType w:val="multilevel"/>
    <w:tmpl w:val="147447DC"/>
    <w:lvl w:ilvl="0" w:tentative="0">
      <w:start w:val="6"/>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7793650"/>
    <w:multiLevelType w:val="multilevel"/>
    <w:tmpl w:val="17793650"/>
    <w:lvl w:ilvl="0" w:tentative="0">
      <w:start w:val="2"/>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A028C0D"/>
    <w:multiLevelType w:val="singleLevel"/>
    <w:tmpl w:val="1A028C0D"/>
    <w:lvl w:ilvl="0" w:tentative="0">
      <w:start w:val="1"/>
      <w:numFmt w:val="chineseCounting"/>
      <w:suff w:val="nothing"/>
      <w:lvlText w:val="%1、"/>
      <w:lvlJc w:val="left"/>
      <w:rPr>
        <w:rFonts w:hint="eastAsia"/>
      </w:rPr>
    </w:lvl>
  </w:abstractNum>
  <w:abstractNum w:abstractNumId="6">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9863F17"/>
    <w:multiLevelType w:val="multilevel"/>
    <w:tmpl w:val="29863F17"/>
    <w:lvl w:ilvl="0" w:tentative="0">
      <w:start w:val="1"/>
      <w:numFmt w:val="chineseCounting"/>
      <w:suff w:val="nothing"/>
      <w:lvlText w:val="（%1）"/>
      <w:lvlJc w:val="left"/>
      <w:pPr>
        <w:ind w:left="284"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C7E23B1"/>
    <w:multiLevelType w:val="multilevel"/>
    <w:tmpl w:val="2C7E23B1"/>
    <w:lvl w:ilvl="0" w:tentative="0">
      <w:start w:val="2"/>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2FDE07C8"/>
    <w:multiLevelType w:val="multilevel"/>
    <w:tmpl w:val="2FDE07C8"/>
    <w:lvl w:ilvl="0" w:tentative="0">
      <w:start w:val="3"/>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4AAC617B"/>
    <w:multiLevelType w:val="multilevel"/>
    <w:tmpl w:val="4AAC617B"/>
    <w:lvl w:ilvl="0" w:tentative="0">
      <w:start w:val="1"/>
      <w:numFmt w:val="decimal"/>
      <w:lvlText w:val="%1、"/>
      <w:lvlJc w:val="left"/>
      <w:pPr>
        <w:tabs>
          <w:tab w:val="left" w:pos="1280"/>
        </w:tabs>
        <w:ind w:left="1280" w:hanging="72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55B1B237"/>
    <w:multiLevelType w:val="singleLevel"/>
    <w:tmpl w:val="55B1B237"/>
    <w:lvl w:ilvl="0" w:tentative="0">
      <w:start w:val="3"/>
      <w:numFmt w:val="chineseCounting"/>
      <w:suff w:val="nothing"/>
      <w:lvlText w:val="%1、"/>
      <w:lvlJc w:val="left"/>
    </w:lvl>
  </w:abstractNum>
  <w:abstractNum w:abstractNumId="12">
    <w:nsid w:val="55B1FBF6"/>
    <w:multiLevelType w:val="singleLevel"/>
    <w:tmpl w:val="55B1FBF6"/>
    <w:lvl w:ilvl="0" w:tentative="0">
      <w:start w:val="1"/>
      <w:numFmt w:val="decimal"/>
      <w:suff w:val="nothing"/>
      <w:lvlText w:val="%1．"/>
      <w:lvlJc w:val="left"/>
      <w:pPr>
        <w:ind w:left="0" w:firstLine="400"/>
      </w:pPr>
      <w:rPr>
        <w:rFonts w:hint="default"/>
      </w:rPr>
    </w:lvl>
  </w:abstractNum>
  <w:abstractNum w:abstractNumId="13">
    <w:nsid w:val="55B2065B"/>
    <w:multiLevelType w:val="singleLevel"/>
    <w:tmpl w:val="55B2065B"/>
    <w:lvl w:ilvl="0" w:tentative="0">
      <w:start w:val="1"/>
      <w:numFmt w:val="lowerLetter"/>
      <w:lvlText w:val="%1."/>
      <w:lvlJc w:val="left"/>
      <w:pPr>
        <w:tabs>
          <w:tab w:val="left" w:pos="425"/>
        </w:tabs>
        <w:ind w:left="425" w:hanging="425"/>
      </w:pPr>
      <w:rPr>
        <w:rFonts w:hint="default"/>
      </w:rPr>
    </w:lvl>
  </w:abstractNum>
  <w:abstractNum w:abstractNumId="14">
    <w:nsid w:val="55D44491"/>
    <w:multiLevelType w:val="singleLevel"/>
    <w:tmpl w:val="55D44491"/>
    <w:lvl w:ilvl="0" w:tentative="0">
      <w:start w:val="1"/>
      <w:numFmt w:val="decimal"/>
      <w:suff w:val="nothing"/>
      <w:lvlText w:val="%1．"/>
      <w:lvlJc w:val="left"/>
      <w:pPr>
        <w:ind w:left="0" w:firstLine="400"/>
      </w:pPr>
      <w:rPr>
        <w:rFonts w:hint="default"/>
      </w:rPr>
    </w:lvl>
  </w:abstractNum>
  <w:abstractNum w:abstractNumId="15">
    <w:nsid w:val="55E1D570"/>
    <w:multiLevelType w:val="singleLevel"/>
    <w:tmpl w:val="55E1D570"/>
    <w:lvl w:ilvl="0" w:tentative="0">
      <w:start w:val="1"/>
      <w:numFmt w:val="lowerLetter"/>
      <w:lvlText w:val="%1."/>
      <w:lvlJc w:val="left"/>
      <w:pPr>
        <w:tabs>
          <w:tab w:val="left" w:pos="425"/>
        </w:tabs>
        <w:ind w:left="425" w:hanging="425"/>
      </w:pPr>
      <w:rPr>
        <w:rFonts w:hint="default"/>
      </w:rPr>
    </w:lvl>
  </w:abstractNum>
  <w:abstractNum w:abstractNumId="16">
    <w:nsid w:val="6CEA2025"/>
    <w:multiLevelType w:val="multilevel"/>
    <w:tmpl w:val="6CEA2025"/>
    <w:lvl w:ilvl="0" w:tentative="0">
      <w:start w:val="1"/>
      <w:numFmt w:val="none"/>
      <w:pStyle w:val="129"/>
      <w:suff w:val="nothing"/>
      <w:lvlText w:val="%1"/>
      <w:lvlJc w:val="left"/>
      <w:pPr>
        <w:ind w:left="0" w:firstLine="0"/>
      </w:pPr>
      <w:rPr>
        <w:rFonts w:hint="default" w:ascii="Times New Roman" w:hAnsi="Times New Roman"/>
        <w:b/>
        <w:i w:val="0"/>
        <w:sz w:val="21"/>
      </w:rPr>
    </w:lvl>
    <w:lvl w:ilvl="1" w:tentative="0">
      <w:start w:val="1"/>
      <w:numFmt w:val="decimal"/>
      <w:pStyle w:val="66"/>
      <w:suff w:val="nothing"/>
      <w:lvlText w:val="%1%2　"/>
      <w:lvlJc w:val="left"/>
      <w:pPr>
        <w:ind w:left="0" w:firstLine="0"/>
      </w:pPr>
      <w:rPr>
        <w:rFonts w:hint="eastAsia" w:ascii="黑体" w:hAnsi="Times New Roman" w:eastAsia="黑体"/>
        <w:b w:val="0"/>
        <w:i w:val="0"/>
        <w:sz w:val="21"/>
      </w:rPr>
    </w:lvl>
    <w:lvl w:ilvl="2" w:tentative="0">
      <w:start w:val="1"/>
      <w:numFmt w:val="decimal"/>
      <w:pStyle w:val="6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105" w:firstLine="0"/>
      </w:pPr>
    </w:lvl>
    <w:lvl w:ilvl="4" w:tentative="0">
      <w:start w:val="1"/>
      <w:numFmt w:val="decimal"/>
      <w:suff w:val="nothing"/>
      <w:lvlText w:val="%1%2.%3.%4.%5　"/>
      <w:lvlJc w:val="left"/>
      <w:pPr>
        <w:ind w:left="735"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7">
    <w:nsid w:val="705371A2"/>
    <w:multiLevelType w:val="multilevel"/>
    <w:tmpl w:val="705371A2"/>
    <w:lvl w:ilvl="0" w:tentative="0">
      <w:start w:val="1"/>
      <w:numFmt w:val="japaneseCounting"/>
      <w:lvlText w:val="第%1章"/>
      <w:lvlJc w:val="left"/>
      <w:pPr>
        <w:tabs>
          <w:tab w:val="left" w:pos="1635"/>
        </w:tabs>
        <w:ind w:left="1635" w:hanging="1455"/>
      </w:pPr>
      <w:rPr>
        <w:rFonts w:hint="eastAsia"/>
      </w:r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num w:numId="1">
    <w:abstractNumId w:val="2"/>
  </w:num>
  <w:num w:numId="2">
    <w:abstractNumId w:val="1"/>
  </w:num>
  <w:num w:numId="3">
    <w:abstractNumId w:val="16"/>
  </w:num>
  <w:num w:numId="4">
    <w:abstractNumId w:val="17"/>
  </w:num>
  <w:num w:numId="5">
    <w:abstractNumId w:val="0"/>
  </w:num>
  <w:num w:numId="6">
    <w:abstractNumId w:val="5"/>
  </w:num>
  <w:num w:numId="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1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2"/>
  </w:num>
  <w:num w:numId="17">
    <w:abstractNumId w:val="6"/>
  </w:num>
  <w:num w:numId="18">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ExYWY3YjU4YjBiNGYyNGU3ZTYwMDBlY2QxNGQzNzEifQ=="/>
  </w:docVars>
  <w:rsids>
    <w:rsidRoot w:val="00240917"/>
    <w:rsid w:val="0000036F"/>
    <w:rsid w:val="0000081F"/>
    <w:rsid w:val="00000922"/>
    <w:rsid w:val="00001982"/>
    <w:rsid w:val="00001EC4"/>
    <w:rsid w:val="0000258E"/>
    <w:rsid w:val="000026BA"/>
    <w:rsid w:val="000026ED"/>
    <w:rsid w:val="00002DEC"/>
    <w:rsid w:val="00002EFC"/>
    <w:rsid w:val="00003114"/>
    <w:rsid w:val="00003A2C"/>
    <w:rsid w:val="00003D22"/>
    <w:rsid w:val="000040BC"/>
    <w:rsid w:val="0000422C"/>
    <w:rsid w:val="000046F2"/>
    <w:rsid w:val="00005B24"/>
    <w:rsid w:val="00006EF8"/>
    <w:rsid w:val="00007105"/>
    <w:rsid w:val="00007136"/>
    <w:rsid w:val="000077C8"/>
    <w:rsid w:val="000079CF"/>
    <w:rsid w:val="00010096"/>
    <w:rsid w:val="000100F5"/>
    <w:rsid w:val="00010240"/>
    <w:rsid w:val="000108BF"/>
    <w:rsid w:val="00010BD4"/>
    <w:rsid w:val="00011586"/>
    <w:rsid w:val="00012A7A"/>
    <w:rsid w:val="000138B7"/>
    <w:rsid w:val="00013EB6"/>
    <w:rsid w:val="0001408C"/>
    <w:rsid w:val="00014364"/>
    <w:rsid w:val="000145D7"/>
    <w:rsid w:val="000146F2"/>
    <w:rsid w:val="00015A6E"/>
    <w:rsid w:val="00015AE5"/>
    <w:rsid w:val="00015E33"/>
    <w:rsid w:val="00015F33"/>
    <w:rsid w:val="000161E7"/>
    <w:rsid w:val="000172E4"/>
    <w:rsid w:val="00017951"/>
    <w:rsid w:val="00020319"/>
    <w:rsid w:val="00021486"/>
    <w:rsid w:val="00021954"/>
    <w:rsid w:val="00022262"/>
    <w:rsid w:val="0002290B"/>
    <w:rsid w:val="00022EFC"/>
    <w:rsid w:val="0002324E"/>
    <w:rsid w:val="000235E8"/>
    <w:rsid w:val="00025087"/>
    <w:rsid w:val="00025421"/>
    <w:rsid w:val="00025644"/>
    <w:rsid w:val="00025CEF"/>
    <w:rsid w:val="00026A84"/>
    <w:rsid w:val="00026BB1"/>
    <w:rsid w:val="00026CA3"/>
    <w:rsid w:val="000279DA"/>
    <w:rsid w:val="0003011F"/>
    <w:rsid w:val="00030554"/>
    <w:rsid w:val="000308F9"/>
    <w:rsid w:val="00030963"/>
    <w:rsid w:val="00030D9B"/>
    <w:rsid w:val="00031131"/>
    <w:rsid w:val="000317D4"/>
    <w:rsid w:val="00031A99"/>
    <w:rsid w:val="00031B12"/>
    <w:rsid w:val="0003248F"/>
    <w:rsid w:val="0003261E"/>
    <w:rsid w:val="00032833"/>
    <w:rsid w:val="000333F6"/>
    <w:rsid w:val="0003364B"/>
    <w:rsid w:val="00033699"/>
    <w:rsid w:val="0003411D"/>
    <w:rsid w:val="000350D2"/>
    <w:rsid w:val="000353EA"/>
    <w:rsid w:val="00035805"/>
    <w:rsid w:val="000359ED"/>
    <w:rsid w:val="00036E91"/>
    <w:rsid w:val="000378FC"/>
    <w:rsid w:val="00037A89"/>
    <w:rsid w:val="000400DE"/>
    <w:rsid w:val="00040488"/>
    <w:rsid w:val="00041536"/>
    <w:rsid w:val="00041B46"/>
    <w:rsid w:val="00042139"/>
    <w:rsid w:val="000425DC"/>
    <w:rsid w:val="00042E26"/>
    <w:rsid w:val="000431CE"/>
    <w:rsid w:val="00044775"/>
    <w:rsid w:val="00044C29"/>
    <w:rsid w:val="00045D10"/>
    <w:rsid w:val="0004602F"/>
    <w:rsid w:val="000471D7"/>
    <w:rsid w:val="00047FB1"/>
    <w:rsid w:val="000509A2"/>
    <w:rsid w:val="0005182C"/>
    <w:rsid w:val="00052833"/>
    <w:rsid w:val="00053402"/>
    <w:rsid w:val="00053BE4"/>
    <w:rsid w:val="00054978"/>
    <w:rsid w:val="000550A5"/>
    <w:rsid w:val="00055820"/>
    <w:rsid w:val="00055B11"/>
    <w:rsid w:val="00056202"/>
    <w:rsid w:val="00056301"/>
    <w:rsid w:val="00056381"/>
    <w:rsid w:val="000566D5"/>
    <w:rsid w:val="00056CB4"/>
    <w:rsid w:val="00056D06"/>
    <w:rsid w:val="00056D8B"/>
    <w:rsid w:val="00060672"/>
    <w:rsid w:val="000624DC"/>
    <w:rsid w:val="000634CD"/>
    <w:rsid w:val="00064B17"/>
    <w:rsid w:val="00064CD0"/>
    <w:rsid w:val="00065E09"/>
    <w:rsid w:val="00066DDE"/>
    <w:rsid w:val="00066E7C"/>
    <w:rsid w:val="0006737A"/>
    <w:rsid w:val="00067A78"/>
    <w:rsid w:val="00070320"/>
    <w:rsid w:val="000718C5"/>
    <w:rsid w:val="00071D0B"/>
    <w:rsid w:val="00071DD9"/>
    <w:rsid w:val="00071EF8"/>
    <w:rsid w:val="000726BF"/>
    <w:rsid w:val="00072E80"/>
    <w:rsid w:val="000732F8"/>
    <w:rsid w:val="000738D8"/>
    <w:rsid w:val="00073923"/>
    <w:rsid w:val="00074501"/>
    <w:rsid w:val="00074C46"/>
    <w:rsid w:val="000753A1"/>
    <w:rsid w:val="000771FD"/>
    <w:rsid w:val="000775E8"/>
    <w:rsid w:val="00077B87"/>
    <w:rsid w:val="0008001D"/>
    <w:rsid w:val="00080BB6"/>
    <w:rsid w:val="00081175"/>
    <w:rsid w:val="000816F8"/>
    <w:rsid w:val="00081B6D"/>
    <w:rsid w:val="00081FB3"/>
    <w:rsid w:val="00082C41"/>
    <w:rsid w:val="000839C0"/>
    <w:rsid w:val="000839EA"/>
    <w:rsid w:val="00083AE6"/>
    <w:rsid w:val="00083DEE"/>
    <w:rsid w:val="00083E61"/>
    <w:rsid w:val="0008444A"/>
    <w:rsid w:val="00084C47"/>
    <w:rsid w:val="000878E9"/>
    <w:rsid w:val="00087F7A"/>
    <w:rsid w:val="0009014D"/>
    <w:rsid w:val="00092A9A"/>
    <w:rsid w:val="00093267"/>
    <w:rsid w:val="00093F71"/>
    <w:rsid w:val="000941F3"/>
    <w:rsid w:val="0009485E"/>
    <w:rsid w:val="00094A9E"/>
    <w:rsid w:val="00095A3B"/>
    <w:rsid w:val="000968A9"/>
    <w:rsid w:val="000970DB"/>
    <w:rsid w:val="000A0CF9"/>
    <w:rsid w:val="000A2578"/>
    <w:rsid w:val="000A288F"/>
    <w:rsid w:val="000A2A59"/>
    <w:rsid w:val="000A335B"/>
    <w:rsid w:val="000A3AE3"/>
    <w:rsid w:val="000A43AF"/>
    <w:rsid w:val="000A5EA8"/>
    <w:rsid w:val="000A5FD5"/>
    <w:rsid w:val="000A6392"/>
    <w:rsid w:val="000A651E"/>
    <w:rsid w:val="000A6A21"/>
    <w:rsid w:val="000A71D7"/>
    <w:rsid w:val="000A7265"/>
    <w:rsid w:val="000A7AF4"/>
    <w:rsid w:val="000A7D40"/>
    <w:rsid w:val="000A7FA4"/>
    <w:rsid w:val="000A7FBA"/>
    <w:rsid w:val="000B075C"/>
    <w:rsid w:val="000B0AEC"/>
    <w:rsid w:val="000B0FAF"/>
    <w:rsid w:val="000B0FF7"/>
    <w:rsid w:val="000B154F"/>
    <w:rsid w:val="000B1649"/>
    <w:rsid w:val="000B1E59"/>
    <w:rsid w:val="000B238B"/>
    <w:rsid w:val="000B2D74"/>
    <w:rsid w:val="000B30E0"/>
    <w:rsid w:val="000B3522"/>
    <w:rsid w:val="000B3624"/>
    <w:rsid w:val="000B449C"/>
    <w:rsid w:val="000B471A"/>
    <w:rsid w:val="000B489A"/>
    <w:rsid w:val="000B53DE"/>
    <w:rsid w:val="000B6300"/>
    <w:rsid w:val="000B658F"/>
    <w:rsid w:val="000B6653"/>
    <w:rsid w:val="000B7200"/>
    <w:rsid w:val="000B778A"/>
    <w:rsid w:val="000C1365"/>
    <w:rsid w:val="000C18B9"/>
    <w:rsid w:val="000C246A"/>
    <w:rsid w:val="000C29CA"/>
    <w:rsid w:val="000C3165"/>
    <w:rsid w:val="000C4E60"/>
    <w:rsid w:val="000C53A8"/>
    <w:rsid w:val="000C575F"/>
    <w:rsid w:val="000C5E41"/>
    <w:rsid w:val="000C5EE2"/>
    <w:rsid w:val="000C6673"/>
    <w:rsid w:val="000C68D3"/>
    <w:rsid w:val="000C6D0C"/>
    <w:rsid w:val="000C7853"/>
    <w:rsid w:val="000C7CF5"/>
    <w:rsid w:val="000D10B9"/>
    <w:rsid w:val="000D1E76"/>
    <w:rsid w:val="000D2EC6"/>
    <w:rsid w:val="000D2FD2"/>
    <w:rsid w:val="000D4238"/>
    <w:rsid w:val="000D48AC"/>
    <w:rsid w:val="000D4ABB"/>
    <w:rsid w:val="000D4FB7"/>
    <w:rsid w:val="000D520A"/>
    <w:rsid w:val="000D5C5F"/>
    <w:rsid w:val="000D66AA"/>
    <w:rsid w:val="000D68EF"/>
    <w:rsid w:val="000D7242"/>
    <w:rsid w:val="000D73C6"/>
    <w:rsid w:val="000D75FC"/>
    <w:rsid w:val="000E089F"/>
    <w:rsid w:val="000E1B95"/>
    <w:rsid w:val="000E2473"/>
    <w:rsid w:val="000E2DB0"/>
    <w:rsid w:val="000E34CA"/>
    <w:rsid w:val="000E3B02"/>
    <w:rsid w:val="000E3E35"/>
    <w:rsid w:val="000E603A"/>
    <w:rsid w:val="000E64ED"/>
    <w:rsid w:val="000E66FA"/>
    <w:rsid w:val="000E6C8F"/>
    <w:rsid w:val="000E6D54"/>
    <w:rsid w:val="000E6DDC"/>
    <w:rsid w:val="000E6F2C"/>
    <w:rsid w:val="000E7347"/>
    <w:rsid w:val="000E7B58"/>
    <w:rsid w:val="000F0349"/>
    <w:rsid w:val="000F06C6"/>
    <w:rsid w:val="000F1D2B"/>
    <w:rsid w:val="000F2093"/>
    <w:rsid w:val="000F20D7"/>
    <w:rsid w:val="000F28E3"/>
    <w:rsid w:val="000F396C"/>
    <w:rsid w:val="000F3DA6"/>
    <w:rsid w:val="000F3E83"/>
    <w:rsid w:val="000F4166"/>
    <w:rsid w:val="000F483A"/>
    <w:rsid w:val="000F4B50"/>
    <w:rsid w:val="000F4BEC"/>
    <w:rsid w:val="000F4E1E"/>
    <w:rsid w:val="000F4E77"/>
    <w:rsid w:val="000F515E"/>
    <w:rsid w:val="000F523E"/>
    <w:rsid w:val="000F5431"/>
    <w:rsid w:val="000F7725"/>
    <w:rsid w:val="00101210"/>
    <w:rsid w:val="0010136C"/>
    <w:rsid w:val="001013E4"/>
    <w:rsid w:val="00101593"/>
    <w:rsid w:val="001018E4"/>
    <w:rsid w:val="00101B4D"/>
    <w:rsid w:val="00101C8F"/>
    <w:rsid w:val="00101F40"/>
    <w:rsid w:val="0010229D"/>
    <w:rsid w:val="001026B7"/>
    <w:rsid w:val="00104872"/>
    <w:rsid w:val="00104942"/>
    <w:rsid w:val="00105007"/>
    <w:rsid w:val="00106945"/>
    <w:rsid w:val="00106AAA"/>
    <w:rsid w:val="00106C54"/>
    <w:rsid w:val="00106F8C"/>
    <w:rsid w:val="00107ED7"/>
    <w:rsid w:val="00107F7A"/>
    <w:rsid w:val="00110450"/>
    <w:rsid w:val="001104C2"/>
    <w:rsid w:val="0011103F"/>
    <w:rsid w:val="00111147"/>
    <w:rsid w:val="0011157C"/>
    <w:rsid w:val="00111D10"/>
    <w:rsid w:val="00112781"/>
    <w:rsid w:val="00112EF1"/>
    <w:rsid w:val="00112FC8"/>
    <w:rsid w:val="001131A9"/>
    <w:rsid w:val="00113A05"/>
    <w:rsid w:val="00114212"/>
    <w:rsid w:val="00114E9D"/>
    <w:rsid w:val="00114F08"/>
    <w:rsid w:val="00114F6B"/>
    <w:rsid w:val="00115220"/>
    <w:rsid w:val="00115467"/>
    <w:rsid w:val="001154C1"/>
    <w:rsid w:val="00115EB0"/>
    <w:rsid w:val="001160EA"/>
    <w:rsid w:val="001164F9"/>
    <w:rsid w:val="00116DAD"/>
    <w:rsid w:val="00116E98"/>
    <w:rsid w:val="00117689"/>
    <w:rsid w:val="001201A0"/>
    <w:rsid w:val="00120E96"/>
    <w:rsid w:val="0012238D"/>
    <w:rsid w:val="001227C8"/>
    <w:rsid w:val="00122852"/>
    <w:rsid w:val="0012380B"/>
    <w:rsid w:val="00124163"/>
    <w:rsid w:val="00124261"/>
    <w:rsid w:val="00124C35"/>
    <w:rsid w:val="001250E7"/>
    <w:rsid w:val="00125F8B"/>
    <w:rsid w:val="001269BD"/>
    <w:rsid w:val="00126D8C"/>
    <w:rsid w:val="0013234C"/>
    <w:rsid w:val="001326B0"/>
    <w:rsid w:val="001330CD"/>
    <w:rsid w:val="001335CF"/>
    <w:rsid w:val="0013485C"/>
    <w:rsid w:val="001348F3"/>
    <w:rsid w:val="00134A98"/>
    <w:rsid w:val="001350E2"/>
    <w:rsid w:val="001353EF"/>
    <w:rsid w:val="00135E4F"/>
    <w:rsid w:val="00136DCB"/>
    <w:rsid w:val="0013721A"/>
    <w:rsid w:val="00137280"/>
    <w:rsid w:val="00140026"/>
    <w:rsid w:val="00141171"/>
    <w:rsid w:val="00141AC9"/>
    <w:rsid w:val="00142247"/>
    <w:rsid w:val="00142E2C"/>
    <w:rsid w:val="001438A8"/>
    <w:rsid w:val="00144DAF"/>
    <w:rsid w:val="00145000"/>
    <w:rsid w:val="00146823"/>
    <w:rsid w:val="00146A34"/>
    <w:rsid w:val="001475A0"/>
    <w:rsid w:val="001475D9"/>
    <w:rsid w:val="00150A57"/>
    <w:rsid w:val="001516BD"/>
    <w:rsid w:val="00151DB4"/>
    <w:rsid w:val="00152289"/>
    <w:rsid w:val="00152E40"/>
    <w:rsid w:val="0015314B"/>
    <w:rsid w:val="00153188"/>
    <w:rsid w:val="00153707"/>
    <w:rsid w:val="00153A38"/>
    <w:rsid w:val="00153F69"/>
    <w:rsid w:val="001548B4"/>
    <w:rsid w:val="00154E87"/>
    <w:rsid w:val="001557B1"/>
    <w:rsid w:val="00155E2A"/>
    <w:rsid w:val="0015606F"/>
    <w:rsid w:val="0015764F"/>
    <w:rsid w:val="00157D64"/>
    <w:rsid w:val="00160413"/>
    <w:rsid w:val="00160844"/>
    <w:rsid w:val="00160C82"/>
    <w:rsid w:val="00162DBB"/>
    <w:rsid w:val="00162E71"/>
    <w:rsid w:val="00163115"/>
    <w:rsid w:val="00163C90"/>
    <w:rsid w:val="001640D6"/>
    <w:rsid w:val="001642B8"/>
    <w:rsid w:val="00164C14"/>
    <w:rsid w:val="00164DC2"/>
    <w:rsid w:val="00165558"/>
    <w:rsid w:val="00165699"/>
    <w:rsid w:val="0016749A"/>
    <w:rsid w:val="00167877"/>
    <w:rsid w:val="00167D2C"/>
    <w:rsid w:val="00167D36"/>
    <w:rsid w:val="0017065F"/>
    <w:rsid w:val="00170A00"/>
    <w:rsid w:val="00170A20"/>
    <w:rsid w:val="00170BA3"/>
    <w:rsid w:val="00171126"/>
    <w:rsid w:val="0017137D"/>
    <w:rsid w:val="001724F0"/>
    <w:rsid w:val="00172552"/>
    <w:rsid w:val="00172BF8"/>
    <w:rsid w:val="00172DAF"/>
    <w:rsid w:val="00172E78"/>
    <w:rsid w:val="00173080"/>
    <w:rsid w:val="00173334"/>
    <w:rsid w:val="001734F9"/>
    <w:rsid w:val="00174463"/>
    <w:rsid w:val="0017456E"/>
    <w:rsid w:val="00174B5B"/>
    <w:rsid w:val="00174F02"/>
    <w:rsid w:val="00175440"/>
    <w:rsid w:val="001755AD"/>
    <w:rsid w:val="001756E1"/>
    <w:rsid w:val="0017622D"/>
    <w:rsid w:val="001764A5"/>
    <w:rsid w:val="001765B2"/>
    <w:rsid w:val="00177249"/>
    <w:rsid w:val="0017727E"/>
    <w:rsid w:val="001772C8"/>
    <w:rsid w:val="00182BF5"/>
    <w:rsid w:val="00183100"/>
    <w:rsid w:val="00185981"/>
    <w:rsid w:val="0018600B"/>
    <w:rsid w:val="00186B39"/>
    <w:rsid w:val="001873EC"/>
    <w:rsid w:val="001878F3"/>
    <w:rsid w:val="001900E4"/>
    <w:rsid w:val="001909FF"/>
    <w:rsid w:val="00190D9E"/>
    <w:rsid w:val="0019191B"/>
    <w:rsid w:val="00191E3B"/>
    <w:rsid w:val="00191E81"/>
    <w:rsid w:val="00192B16"/>
    <w:rsid w:val="0019303F"/>
    <w:rsid w:val="0019384B"/>
    <w:rsid w:val="00193DEC"/>
    <w:rsid w:val="00194EE0"/>
    <w:rsid w:val="00195F27"/>
    <w:rsid w:val="001963C6"/>
    <w:rsid w:val="001977C1"/>
    <w:rsid w:val="001A0863"/>
    <w:rsid w:val="001A0D1E"/>
    <w:rsid w:val="001A153E"/>
    <w:rsid w:val="001A1BE4"/>
    <w:rsid w:val="001A1EFA"/>
    <w:rsid w:val="001A1F31"/>
    <w:rsid w:val="001A20F3"/>
    <w:rsid w:val="001A21A5"/>
    <w:rsid w:val="001A2C0E"/>
    <w:rsid w:val="001A35B2"/>
    <w:rsid w:val="001A384E"/>
    <w:rsid w:val="001A409C"/>
    <w:rsid w:val="001A4520"/>
    <w:rsid w:val="001A4DE9"/>
    <w:rsid w:val="001A4E0A"/>
    <w:rsid w:val="001A5049"/>
    <w:rsid w:val="001A52AF"/>
    <w:rsid w:val="001A5583"/>
    <w:rsid w:val="001A5B94"/>
    <w:rsid w:val="001A67AE"/>
    <w:rsid w:val="001A6873"/>
    <w:rsid w:val="001A6B55"/>
    <w:rsid w:val="001A78F6"/>
    <w:rsid w:val="001A7ADC"/>
    <w:rsid w:val="001A7DCB"/>
    <w:rsid w:val="001B0448"/>
    <w:rsid w:val="001B0F8C"/>
    <w:rsid w:val="001B1353"/>
    <w:rsid w:val="001B1BF7"/>
    <w:rsid w:val="001B1DE6"/>
    <w:rsid w:val="001B2041"/>
    <w:rsid w:val="001B219F"/>
    <w:rsid w:val="001B2B87"/>
    <w:rsid w:val="001B3350"/>
    <w:rsid w:val="001B3D8F"/>
    <w:rsid w:val="001C0497"/>
    <w:rsid w:val="001C16D7"/>
    <w:rsid w:val="001C2235"/>
    <w:rsid w:val="001C2393"/>
    <w:rsid w:val="001C2855"/>
    <w:rsid w:val="001C2EF4"/>
    <w:rsid w:val="001C2F87"/>
    <w:rsid w:val="001C336B"/>
    <w:rsid w:val="001C427F"/>
    <w:rsid w:val="001C42A5"/>
    <w:rsid w:val="001C4D1B"/>
    <w:rsid w:val="001C50B2"/>
    <w:rsid w:val="001C6C0A"/>
    <w:rsid w:val="001C716A"/>
    <w:rsid w:val="001C71BB"/>
    <w:rsid w:val="001C71DD"/>
    <w:rsid w:val="001D10B9"/>
    <w:rsid w:val="001D2233"/>
    <w:rsid w:val="001D3C98"/>
    <w:rsid w:val="001D3D16"/>
    <w:rsid w:val="001D439E"/>
    <w:rsid w:val="001D4E7C"/>
    <w:rsid w:val="001D538D"/>
    <w:rsid w:val="001D5429"/>
    <w:rsid w:val="001D54EC"/>
    <w:rsid w:val="001D5D92"/>
    <w:rsid w:val="001D5F98"/>
    <w:rsid w:val="001D72EA"/>
    <w:rsid w:val="001E0202"/>
    <w:rsid w:val="001E102E"/>
    <w:rsid w:val="001E10B0"/>
    <w:rsid w:val="001E1984"/>
    <w:rsid w:val="001E1C3C"/>
    <w:rsid w:val="001E1C73"/>
    <w:rsid w:val="001E1EAF"/>
    <w:rsid w:val="001E2E17"/>
    <w:rsid w:val="001E3CAB"/>
    <w:rsid w:val="001E3DA1"/>
    <w:rsid w:val="001E41DA"/>
    <w:rsid w:val="001E4621"/>
    <w:rsid w:val="001E49F0"/>
    <w:rsid w:val="001E4A05"/>
    <w:rsid w:val="001E4B09"/>
    <w:rsid w:val="001E4B0E"/>
    <w:rsid w:val="001E557A"/>
    <w:rsid w:val="001E60B0"/>
    <w:rsid w:val="001E6A7C"/>
    <w:rsid w:val="001E7E03"/>
    <w:rsid w:val="001F018C"/>
    <w:rsid w:val="001F0842"/>
    <w:rsid w:val="001F12B5"/>
    <w:rsid w:val="001F1920"/>
    <w:rsid w:val="001F1C1F"/>
    <w:rsid w:val="001F1ECE"/>
    <w:rsid w:val="001F22B3"/>
    <w:rsid w:val="001F2922"/>
    <w:rsid w:val="001F2C56"/>
    <w:rsid w:val="001F2E11"/>
    <w:rsid w:val="001F31D4"/>
    <w:rsid w:val="001F4B10"/>
    <w:rsid w:val="001F54DF"/>
    <w:rsid w:val="001F57A9"/>
    <w:rsid w:val="001F6A5D"/>
    <w:rsid w:val="001F7498"/>
    <w:rsid w:val="001F7FF0"/>
    <w:rsid w:val="00200E0D"/>
    <w:rsid w:val="00201E52"/>
    <w:rsid w:val="00202964"/>
    <w:rsid w:val="00204594"/>
    <w:rsid w:val="0020495A"/>
    <w:rsid w:val="00204AD2"/>
    <w:rsid w:val="002055CF"/>
    <w:rsid w:val="00206509"/>
    <w:rsid w:val="002067AD"/>
    <w:rsid w:val="0020685C"/>
    <w:rsid w:val="00206C38"/>
    <w:rsid w:val="002078EF"/>
    <w:rsid w:val="0021049D"/>
    <w:rsid w:val="00210C53"/>
    <w:rsid w:val="00210D2E"/>
    <w:rsid w:val="0021140D"/>
    <w:rsid w:val="0021299D"/>
    <w:rsid w:val="00213906"/>
    <w:rsid w:val="00213B78"/>
    <w:rsid w:val="00214289"/>
    <w:rsid w:val="00214DFE"/>
    <w:rsid w:val="00214F2B"/>
    <w:rsid w:val="00215C4B"/>
    <w:rsid w:val="00215F95"/>
    <w:rsid w:val="0021619D"/>
    <w:rsid w:val="00216300"/>
    <w:rsid w:val="00216B9A"/>
    <w:rsid w:val="002171D5"/>
    <w:rsid w:val="0021737C"/>
    <w:rsid w:val="002204C0"/>
    <w:rsid w:val="002206BB"/>
    <w:rsid w:val="00220886"/>
    <w:rsid w:val="0022112F"/>
    <w:rsid w:val="00221ECC"/>
    <w:rsid w:val="00223228"/>
    <w:rsid w:val="002233AD"/>
    <w:rsid w:val="00223725"/>
    <w:rsid w:val="00223774"/>
    <w:rsid w:val="00223F91"/>
    <w:rsid w:val="002240B0"/>
    <w:rsid w:val="0022413B"/>
    <w:rsid w:val="00224CFF"/>
    <w:rsid w:val="00225194"/>
    <w:rsid w:val="002251B8"/>
    <w:rsid w:val="00225297"/>
    <w:rsid w:val="002261EA"/>
    <w:rsid w:val="00226ABA"/>
    <w:rsid w:val="00227307"/>
    <w:rsid w:val="002273E6"/>
    <w:rsid w:val="002275FC"/>
    <w:rsid w:val="0022762C"/>
    <w:rsid w:val="00227CA1"/>
    <w:rsid w:val="00230279"/>
    <w:rsid w:val="002302BD"/>
    <w:rsid w:val="002308BE"/>
    <w:rsid w:val="00230C19"/>
    <w:rsid w:val="00230ED2"/>
    <w:rsid w:val="002315DF"/>
    <w:rsid w:val="00231920"/>
    <w:rsid w:val="0023262C"/>
    <w:rsid w:val="00232A3E"/>
    <w:rsid w:val="00232A60"/>
    <w:rsid w:val="002331ED"/>
    <w:rsid w:val="00233722"/>
    <w:rsid w:val="0023468B"/>
    <w:rsid w:val="00234CFD"/>
    <w:rsid w:val="00235505"/>
    <w:rsid w:val="00236517"/>
    <w:rsid w:val="00236B62"/>
    <w:rsid w:val="00236FFB"/>
    <w:rsid w:val="002374C8"/>
    <w:rsid w:val="0024025B"/>
    <w:rsid w:val="00240467"/>
    <w:rsid w:val="00240917"/>
    <w:rsid w:val="0024105E"/>
    <w:rsid w:val="0024235B"/>
    <w:rsid w:val="00243056"/>
    <w:rsid w:val="002437C2"/>
    <w:rsid w:val="00244AA1"/>
    <w:rsid w:val="00244F5B"/>
    <w:rsid w:val="0024542A"/>
    <w:rsid w:val="00245A4F"/>
    <w:rsid w:val="00245ABD"/>
    <w:rsid w:val="00245C85"/>
    <w:rsid w:val="002465F0"/>
    <w:rsid w:val="00246882"/>
    <w:rsid w:val="00246BF5"/>
    <w:rsid w:val="002502A2"/>
    <w:rsid w:val="00250CC2"/>
    <w:rsid w:val="00250E41"/>
    <w:rsid w:val="00251357"/>
    <w:rsid w:val="002515FC"/>
    <w:rsid w:val="0025215E"/>
    <w:rsid w:val="00252D82"/>
    <w:rsid w:val="00252EE1"/>
    <w:rsid w:val="002534E5"/>
    <w:rsid w:val="002535D9"/>
    <w:rsid w:val="002535E9"/>
    <w:rsid w:val="00253890"/>
    <w:rsid w:val="00253FD3"/>
    <w:rsid w:val="00254093"/>
    <w:rsid w:val="00254B18"/>
    <w:rsid w:val="00254DBE"/>
    <w:rsid w:val="002552C5"/>
    <w:rsid w:val="00255A96"/>
    <w:rsid w:val="00255F6A"/>
    <w:rsid w:val="00256B61"/>
    <w:rsid w:val="00257031"/>
    <w:rsid w:val="002573A5"/>
    <w:rsid w:val="002577D4"/>
    <w:rsid w:val="0026159F"/>
    <w:rsid w:val="00261DDD"/>
    <w:rsid w:val="0026355B"/>
    <w:rsid w:val="00263962"/>
    <w:rsid w:val="00263B0C"/>
    <w:rsid w:val="00264BA8"/>
    <w:rsid w:val="00265525"/>
    <w:rsid w:val="00266AAF"/>
    <w:rsid w:val="00270968"/>
    <w:rsid w:val="002728D5"/>
    <w:rsid w:val="00273B11"/>
    <w:rsid w:val="00273D53"/>
    <w:rsid w:val="0027400C"/>
    <w:rsid w:val="002752AC"/>
    <w:rsid w:val="0027539D"/>
    <w:rsid w:val="00275713"/>
    <w:rsid w:val="002772DE"/>
    <w:rsid w:val="0027735D"/>
    <w:rsid w:val="0027745E"/>
    <w:rsid w:val="002776D1"/>
    <w:rsid w:val="0028013F"/>
    <w:rsid w:val="0028042F"/>
    <w:rsid w:val="0028203D"/>
    <w:rsid w:val="002826DC"/>
    <w:rsid w:val="002830ED"/>
    <w:rsid w:val="0028326C"/>
    <w:rsid w:val="00284223"/>
    <w:rsid w:val="00284D11"/>
    <w:rsid w:val="00285850"/>
    <w:rsid w:val="00285C76"/>
    <w:rsid w:val="0028638B"/>
    <w:rsid w:val="00286716"/>
    <w:rsid w:val="0028672F"/>
    <w:rsid w:val="00286857"/>
    <w:rsid w:val="002873EC"/>
    <w:rsid w:val="002909A3"/>
    <w:rsid w:val="00290E68"/>
    <w:rsid w:val="00292EBC"/>
    <w:rsid w:val="00292EFA"/>
    <w:rsid w:val="00293229"/>
    <w:rsid w:val="00293241"/>
    <w:rsid w:val="002936F6"/>
    <w:rsid w:val="0029533C"/>
    <w:rsid w:val="00295F60"/>
    <w:rsid w:val="00295FA9"/>
    <w:rsid w:val="002963AD"/>
    <w:rsid w:val="00296D7D"/>
    <w:rsid w:val="00296DFF"/>
    <w:rsid w:val="002A0019"/>
    <w:rsid w:val="002A01A6"/>
    <w:rsid w:val="002A0A5C"/>
    <w:rsid w:val="002A0CB7"/>
    <w:rsid w:val="002A0E02"/>
    <w:rsid w:val="002A11F9"/>
    <w:rsid w:val="002A1725"/>
    <w:rsid w:val="002A19A1"/>
    <w:rsid w:val="002A19C6"/>
    <w:rsid w:val="002A2E2F"/>
    <w:rsid w:val="002A3C40"/>
    <w:rsid w:val="002A4B1B"/>
    <w:rsid w:val="002A5507"/>
    <w:rsid w:val="002A6485"/>
    <w:rsid w:val="002A7048"/>
    <w:rsid w:val="002A7CE1"/>
    <w:rsid w:val="002B0768"/>
    <w:rsid w:val="002B0CC4"/>
    <w:rsid w:val="002B13AD"/>
    <w:rsid w:val="002B1A80"/>
    <w:rsid w:val="002B22FB"/>
    <w:rsid w:val="002B23FE"/>
    <w:rsid w:val="002B246C"/>
    <w:rsid w:val="002B3645"/>
    <w:rsid w:val="002B381B"/>
    <w:rsid w:val="002B39B4"/>
    <w:rsid w:val="002B3CF9"/>
    <w:rsid w:val="002B3DBC"/>
    <w:rsid w:val="002B59CA"/>
    <w:rsid w:val="002B59DF"/>
    <w:rsid w:val="002B6980"/>
    <w:rsid w:val="002B75B1"/>
    <w:rsid w:val="002B7A25"/>
    <w:rsid w:val="002C00F1"/>
    <w:rsid w:val="002C020B"/>
    <w:rsid w:val="002C0C3D"/>
    <w:rsid w:val="002C19DA"/>
    <w:rsid w:val="002C1A91"/>
    <w:rsid w:val="002C2C31"/>
    <w:rsid w:val="002C2E43"/>
    <w:rsid w:val="002C31B4"/>
    <w:rsid w:val="002C50ED"/>
    <w:rsid w:val="002C5B9D"/>
    <w:rsid w:val="002C5C05"/>
    <w:rsid w:val="002C5FF5"/>
    <w:rsid w:val="002C6013"/>
    <w:rsid w:val="002C6BE0"/>
    <w:rsid w:val="002C73BF"/>
    <w:rsid w:val="002C7FAB"/>
    <w:rsid w:val="002D076D"/>
    <w:rsid w:val="002D0D2D"/>
    <w:rsid w:val="002D114E"/>
    <w:rsid w:val="002D2AFE"/>
    <w:rsid w:val="002D2F88"/>
    <w:rsid w:val="002D3172"/>
    <w:rsid w:val="002D3CE9"/>
    <w:rsid w:val="002D4A2F"/>
    <w:rsid w:val="002D50BF"/>
    <w:rsid w:val="002D583F"/>
    <w:rsid w:val="002D5DCC"/>
    <w:rsid w:val="002D6D7B"/>
    <w:rsid w:val="002D721E"/>
    <w:rsid w:val="002D7522"/>
    <w:rsid w:val="002D793A"/>
    <w:rsid w:val="002D7AA4"/>
    <w:rsid w:val="002E018F"/>
    <w:rsid w:val="002E0D4C"/>
    <w:rsid w:val="002E12CE"/>
    <w:rsid w:val="002E19FA"/>
    <w:rsid w:val="002E1E99"/>
    <w:rsid w:val="002E2461"/>
    <w:rsid w:val="002E27F0"/>
    <w:rsid w:val="002E2B55"/>
    <w:rsid w:val="002E2CA9"/>
    <w:rsid w:val="002E334B"/>
    <w:rsid w:val="002E34C5"/>
    <w:rsid w:val="002E34F1"/>
    <w:rsid w:val="002E3B39"/>
    <w:rsid w:val="002E3C1E"/>
    <w:rsid w:val="002E413D"/>
    <w:rsid w:val="002E429C"/>
    <w:rsid w:val="002E4A25"/>
    <w:rsid w:val="002E5101"/>
    <w:rsid w:val="002E533C"/>
    <w:rsid w:val="002E62FB"/>
    <w:rsid w:val="002E677E"/>
    <w:rsid w:val="002E7348"/>
    <w:rsid w:val="002E7EAE"/>
    <w:rsid w:val="002F0146"/>
    <w:rsid w:val="002F0291"/>
    <w:rsid w:val="002F071D"/>
    <w:rsid w:val="002F0CC5"/>
    <w:rsid w:val="002F12CB"/>
    <w:rsid w:val="002F19AD"/>
    <w:rsid w:val="002F261B"/>
    <w:rsid w:val="002F2946"/>
    <w:rsid w:val="002F2E00"/>
    <w:rsid w:val="002F47FD"/>
    <w:rsid w:val="002F6CA6"/>
    <w:rsid w:val="002F7B41"/>
    <w:rsid w:val="0030028A"/>
    <w:rsid w:val="00300726"/>
    <w:rsid w:val="00300C7F"/>
    <w:rsid w:val="0030288A"/>
    <w:rsid w:val="003033EE"/>
    <w:rsid w:val="0030367B"/>
    <w:rsid w:val="00303962"/>
    <w:rsid w:val="00303BF8"/>
    <w:rsid w:val="00304872"/>
    <w:rsid w:val="00304B61"/>
    <w:rsid w:val="00304D96"/>
    <w:rsid w:val="00305B93"/>
    <w:rsid w:val="003061AA"/>
    <w:rsid w:val="00306508"/>
    <w:rsid w:val="00306A7E"/>
    <w:rsid w:val="003100A5"/>
    <w:rsid w:val="00310308"/>
    <w:rsid w:val="003118B7"/>
    <w:rsid w:val="00311FB0"/>
    <w:rsid w:val="00313B48"/>
    <w:rsid w:val="003141B4"/>
    <w:rsid w:val="00314709"/>
    <w:rsid w:val="00314927"/>
    <w:rsid w:val="0031533A"/>
    <w:rsid w:val="0031534D"/>
    <w:rsid w:val="00315D13"/>
    <w:rsid w:val="00316645"/>
    <w:rsid w:val="00316982"/>
    <w:rsid w:val="00316B9A"/>
    <w:rsid w:val="00316D09"/>
    <w:rsid w:val="003171E1"/>
    <w:rsid w:val="00320429"/>
    <w:rsid w:val="0032075B"/>
    <w:rsid w:val="0032126F"/>
    <w:rsid w:val="0032172C"/>
    <w:rsid w:val="00321C4C"/>
    <w:rsid w:val="00322CEC"/>
    <w:rsid w:val="00322EAC"/>
    <w:rsid w:val="0032348D"/>
    <w:rsid w:val="00324533"/>
    <w:rsid w:val="0032470B"/>
    <w:rsid w:val="00324A05"/>
    <w:rsid w:val="00325A4C"/>
    <w:rsid w:val="00325A5A"/>
    <w:rsid w:val="00325B05"/>
    <w:rsid w:val="003262CB"/>
    <w:rsid w:val="003264B5"/>
    <w:rsid w:val="003267E3"/>
    <w:rsid w:val="003269B3"/>
    <w:rsid w:val="00326DAB"/>
    <w:rsid w:val="003270C9"/>
    <w:rsid w:val="003271AD"/>
    <w:rsid w:val="003274AE"/>
    <w:rsid w:val="0032792A"/>
    <w:rsid w:val="00327BF2"/>
    <w:rsid w:val="00327E4B"/>
    <w:rsid w:val="00327E98"/>
    <w:rsid w:val="00331095"/>
    <w:rsid w:val="0033154D"/>
    <w:rsid w:val="0033337C"/>
    <w:rsid w:val="0033355B"/>
    <w:rsid w:val="00334052"/>
    <w:rsid w:val="00334DA2"/>
    <w:rsid w:val="003356DA"/>
    <w:rsid w:val="00335B2D"/>
    <w:rsid w:val="00335F70"/>
    <w:rsid w:val="00336A27"/>
    <w:rsid w:val="00336A7F"/>
    <w:rsid w:val="00336BBD"/>
    <w:rsid w:val="00337454"/>
    <w:rsid w:val="00337830"/>
    <w:rsid w:val="0034201F"/>
    <w:rsid w:val="00342760"/>
    <w:rsid w:val="00342E68"/>
    <w:rsid w:val="0034335B"/>
    <w:rsid w:val="00343DEE"/>
    <w:rsid w:val="0034400C"/>
    <w:rsid w:val="00344684"/>
    <w:rsid w:val="00344B42"/>
    <w:rsid w:val="00345E05"/>
    <w:rsid w:val="003466FC"/>
    <w:rsid w:val="00346F2D"/>
    <w:rsid w:val="003471FF"/>
    <w:rsid w:val="003473BC"/>
    <w:rsid w:val="003473CA"/>
    <w:rsid w:val="00350759"/>
    <w:rsid w:val="00350EFF"/>
    <w:rsid w:val="00350F39"/>
    <w:rsid w:val="00351141"/>
    <w:rsid w:val="00351ED5"/>
    <w:rsid w:val="00352BA8"/>
    <w:rsid w:val="003532AD"/>
    <w:rsid w:val="00353E00"/>
    <w:rsid w:val="00354C70"/>
    <w:rsid w:val="00354FDB"/>
    <w:rsid w:val="00355186"/>
    <w:rsid w:val="00355698"/>
    <w:rsid w:val="00355FC3"/>
    <w:rsid w:val="003566A6"/>
    <w:rsid w:val="003605D0"/>
    <w:rsid w:val="003606EA"/>
    <w:rsid w:val="00360864"/>
    <w:rsid w:val="00361E82"/>
    <w:rsid w:val="003624C0"/>
    <w:rsid w:val="003625D4"/>
    <w:rsid w:val="003638A1"/>
    <w:rsid w:val="003638B0"/>
    <w:rsid w:val="00363FE7"/>
    <w:rsid w:val="0036429C"/>
    <w:rsid w:val="003644A2"/>
    <w:rsid w:val="00364C73"/>
    <w:rsid w:val="00364CC6"/>
    <w:rsid w:val="00365BEC"/>
    <w:rsid w:val="00366526"/>
    <w:rsid w:val="003665F2"/>
    <w:rsid w:val="00366731"/>
    <w:rsid w:val="003668F4"/>
    <w:rsid w:val="00366C79"/>
    <w:rsid w:val="003708F6"/>
    <w:rsid w:val="00370BAA"/>
    <w:rsid w:val="00371582"/>
    <w:rsid w:val="003718D7"/>
    <w:rsid w:val="003729D9"/>
    <w:rsid w:val="00372BBD"/>
    <w:rsid w:val="00372DB2"/>
    <w:rsid w:val="00373C37"/>
    <w:rsid w:val="00373EDD"/>
    <w:rsid w:val="00374031"/>
    <w:rsid w:val="0037461B"/>
    <w:rsid w:val="00375420"/>
    <w:rsid w:val="003754A1"/>
    <w:rsid w:val="00375648"/>
    <w:rsid w:val="00376017"/>
    <w:rsid w:val="0037634D"/>
    <w:rsid w:val="0037650C"/>
    <w:rsid w:val="00376E8B"/>
    <w:rsid w:val="00377F40"/>
    <w:rsid w:val="003800CA"/>
    <w:rsid w:val="00380305"/>
    <w:rsid w:val="00380E5C"/>
    <w:rsid w:val="00381117"/>
    <w:rsid w:val="003816A7"/>
    <w:rsid w:val="00381C55"/>
    <w:rsid w:val="003823FB"/>
    <w:rsid w:val="003831DE"/>
    <w:rsid w:val="00383A12"/>
    <w:rsid w:val="00384EF0"/>
    <w:rsid w:val="00385131"/>
    <w:rsid w:val="00386908"/>
    <w:rsid w:val="00386C31"/>
    <w:rsid w:val="00387647"/>
    <w:rsid w:val="00387721"/>
    <w:rsid w:val="00390919"/>
    <w:rsid w:val="00390D28"/>
    <w:rsid w:val="0039182D"/>
    <w:rsid w:val="00391A34"/>
    <w:rsid w:val="003925B7"/>
    <w:rsid w:val="00392628"/>
    <w:rsid w:val="0039289D"/>
    <w:rsid w:val="00393565"/>
    <w:rsid w:val="00393A35"/>
    <w:rsid w:val="003942C8"/>
    <w:rsid w:val="00395062"/>
    <w:rsid w:val="0039573C"/>
    <w:rsid w:val="00395C90"/>
    <w:rsid w:val="00395D0A"/>
    <w:rsid w:val="003960E3"/>
    <w:rsid w:val="00396BCE"/>
    <w:rsid w:val="0039730E"/>
    <w:rsid w:val="00397B92"/>
    <w:rsid w:val="00397BC8"/>
    <w:rsid w:val="003A01A4"/>
    <w:rsid w:val="003A0B56"/>
    <w:rsid w:val="003A0B9D"/>
    <w:rsid w:val="003A0FF7"/>
    <w:rsid w:val="003A1284"/>
    <w:rsid w:val="003A1408"/>
    <w:rsid w:val="003A15B6"/>
    <w:rsid w:val="003A1D55"/>
    <w:rsid w:val="003A2538"/>
    <w:rsid w:val="003A26ED"/>
    <w:rsid w:val="003A3681"/>
    <w:rsid w:val="003A37AD"/>
    <w:rsid w:val="003A5056"/>
    <w:rsid w:val="003A543A"/>
    <w:rsid w:val="003A58A2"/>
    <w:rsid w:val="003A6DEC"/>
    <w:rsid w:val="003A6F47"/>
    <w:rsid w:val="003A7471"/>
    <w:rsid w:val="003A760F"/>
    <w:rsid w:val="003A7CA7"/>
    <w:rsid w:val="003A7E3E"/>
    <w:rsid w:val="003B10A4"/>
    <w:rsid w:val="003B13E5"/>
    <w:rsid w:val="003B1599"/>
    <w:rsid w:val="003B2D93"/>
    <w:rsid w:val="003B3AF3"/>
    <w:rsid w:val="003B4C5B"/>
    <w:rsid w:val="003B5172"/>
    <w:rsid w:val="003B54E7"/>
    <w:rsid w:val="003B5730"/>
    <w:rsid w:val="003B6033"/>
    <w:rsid w:val="003B60A6"/>
    <w:rsid w:val="003B6296"/>
    <w:rsid w:val="003B642B"/>
    <w:rsid w:val="003B68B3"/>
    <w:rsid w:val="003B75F2"/>
    <w:rsid w:val="003B7694"/>
    <w:rsid w:val="003C0B16"/>
    <w:rsid w:val="003C1779"/>
    <w:rsid w:val="003C1BDA"/>
    <w:rsid w:val="003C3627"/>
    <w:rsid w:val="003C36DD"/>
    <w:rsid w:val="003C3E66"/>
    <w:rsid w:val="003C402D"/>
    <w:rsid w:val="003C42BF"/>
    <w:rsid w:val="003C558C"/>
    <w:rsid w:val="003C5A12"/>
    <w:rsid w:val="003C6005"/>
    <w:rsid w:val="003C6EE1"/>
    <w:rsid w:val="003C7159"/>
    <w:rsid w:val="003C74C1"/>
    <w:rsid w:val="003C7B60"/>
    <w:rsid w:val="003D00A9"/>
    <w:rsid w:val="003D01CC"/>
    <w:rsid w:val="003D1178"/>
    <w:rsid w:val="003D1F96"/>
    <w:rsid w:val="003D2610"/>
    <w:rsid w:val="003D2AC3"/>
    <w:rsid w:val="003D2E03"/>
    <w:rsid w:val="003D404D"/>
    <w:rsid w:val="003D46D0"/>
    <w:rsid w:val="003D46F5"/>
    <w:rsid w:val="003D494B"/>
    <w:rsid w:val="003D5004"/>
    <w:rsid w:val="003D50D5"/>
    <w:rsid w:val="003D54B3"/>
    <w:rsid w:val="003D5DDE"/>
    <w:rsid w:val="003D7D29"/>
    <w:rsid w:val="003D7F3B"/>
    <w:rsid w:val="003E09BF"/>
    <w:rsid w:val="003E178C"/>
    <w:rsid w:val="003E3429"/>
    <w:rsid w:val="003E378A"/>
    <w:rsid w:val="003E451C"/>
    <w:rsid w:val="003E45CD"/>
    <w:rsid w:val="003E5AEF"/>
    <w:rsid w:val="003E6528"/>
    <w:rsid w:val="003E7E8E"/>
    <w:rsid w:val="003F046C"/>
    <w:rsid w:val="003F0C78"/>
    <w:rsid w:val="003F192F"/>
    <w:rsid w:val="003F1DEB"/>
    <w:rsid w:val="003F2791"/>
    <w:rsid w:val="003F28E6"/>
    <w:rsid w:val="003F36EA"/>
    <w:rsid w:val="003F486B"/>
    <w:rsid w:val="003F49A9"/>
    <w:rsid w:val="003F5533"/>
    <w:rsid w:val="003F625B"/>
    <w:rsid w:val="003F6353"/>
    <w:rsid w:val="003F6BD1"/>
    <w:rsid w:val="003F6E20"/>
    <w:rsid w:val="003F7E8E"/>
    <w:rsid w:val="004002E5"/>
    <w:rsid w:val="00400E49"/>
    <w:rsid w:val="00401A67"/>
    <w:rsid w:val="00401FD8"/>
    <w:rsid w:val="00402263"/>
    <w:rsid w:val="004025F9"/>
    <w:rsid w:val="00402DA6"/>
    <w:rsid w:val="0040300C"/>
    <w:rsid w:val="004046D4"/>
    <w:rsid w:val="00404D58"/>
    <w:rsid w:val="004053B6"/>
    <w:rsid w:val="00405A1A"/>
    <w:rsid w:val="00405ACA"/>
    <w:rsid w:val="004060A1"/>
    <w:rsid w:val="004060C5"/>
    <w:rsid w:val="0040637C"/>
    <w:rsid w:val="00406EE6"/>
    <w:rsid w:val="00406F5E"/>
    <w:rsid w:val="00407531"/>
    <w:rsid w:val="00407B4D"/>
    <w:rsid w:val="004106FF"/>
    <w:rsid w:val="0041080E"/>
    <w:rsid w:val="00410869"/>
    <w:rsid w:val="00411729"/>
    <w:rsid w:val="0041218A"/>
    <w:rsid w:val="004123DC"/>
    <w:rsid w:val="004125BA"/>
    <w:rsid w:val="00412DAF"/>
    <w:rsid w:val="004137D4"/>
    <w:rsid w:val="00413E01"/>
    <w:rsid w:val="00414D3B"/>
    <w:rsid w:val="00415514"/>
    <w:rsid w:val="00415954"/>
    <w:rsid w:val="00416459"/>
    <w:rsid w:val="00416E10"/>
    <w:rsid w:val="0041785A"/>
    <w:rsid w:val="00417A86"/>
    <w:rsid w:val="00420552"/>
    <w:rsid w:val="004205EF"/>
    <w:rsid w:val="0042122A"/>
    <w:rsid w:val="00421503"/>
    <w:rsid w:val="00421684"/>
    <w:rsid w:val="004220D8"/>
    <w:rsid w:val="0042228F"/>
    <w:rsid w:val="00423C30"/>
    <w:rsid w:val="00423D2C"/>
    <w:rsid w:val="00424302"/>
    <w:rsid w:val="00425919"/>
    <w:rsid w:val="00425A8F"/>
    <w:rsid w:val="0042607F"/>
    <w:rsid w:val="004261CC"/>
    <w:rsid w:val="00426EB3"/>
    <w:rsid w:val="00427417"/>
    <w:rsid w:val="00427D9E"/>
    <w:rsid w:val="00427EDE"/>
    <w:rsid w:val="004307C8"/>
    <w:rsid w:val="00430DFC"/>
    <w:rsid w:val="00430F8D"/>
    <w:rsid w:val="00431334"/>
    <w:rsid w:val="00431805"/>
    <w:rsid w:val="00431C17"/>
    <w:rsid w:val="0043245F"/>
    <w:rsid w:val="00432819"/>
    <w:rsid w:val="00432CF8"/>
    <w:rsid w:val="004334D9"/>
    <w:rsid w:val="00433889"/>
    <w:rsid w:val="00434B2F"/>
    <w:rsid w:val="00435543"/>
    <w:rsid w:val="00436A2A"/>
    <w:rsid w:val="00436B97"/>
    <w:rsid w:val="00436F8D"/>
    <w:rsid w:val="00437F22"/>
    <w:rsid w:val="004407B7"/>
    <w:rsid w:val="0044156D"/>
    <w:rsid w:val="00441CF0"/>
    <w:rsid w:val="00441E5F"/>
    <w:rsid w:val="0044268D"/>
    <w:rsid w:val="0044310F"/>
    <w:rsid w:val="00443A34"/>
    <w:rsid w:val="0044509C"/>
    <w:rsid w:val="0044637F"/>
    <w:rsid w:val="004465A2"/>
    <w:rsid w:val="00446880"/>
    <w:rsid w:val="00447C89"/>
    <w:rsid w:val="0045074B"/>
    <w:rsid w:val="00451073"/>
    <w:rsid w:val="00451C8A"/>
    <w:rsid w:val="00451F24"/>
    <w:rsid w:val="0045359D"/>
    <w:rsid w:val="004536FF"/>
    <w:rsid w:val="00453D26"/>
    <w:rsid w:val="00453E9C"/>
    <w:rsid w:val="00454E1F"/>
    <w:rsid w:val="00455210"/>
    <w:rsid w:val="00455D56"/>
    <w:rsid w:val="00455FF3"/>
    <w:rsid w:val="004561CB"/>
    <w:rsid w:val="00456936"/>
    <w:rsid w:val="004615B0"/>
    <w:rsid w:val="00462644"/>
    <w:rsid w:val="00462B72"/>
    <w:rsid w:val="00462F82"/>
    <w:rsid w:val="00463533"/>
    <w:rsid w:val="00463678"/>
    <w:rsid w:val="00463968"/>
    <w:rsid w:val="00465953"/>
    <w:rsid w:val="00465A23"/>
    <w:rsid w:val="004669FE"/>
    <w:rsid w:val="00466CF2"/>
    <w:rsid w:val="004675B0"/>
    <w:rsid w:val="00467FD0"/>
    <w:rsid w:val="004701E2"/>
    <w:rsid w:val="0047096E"/>
    <w:rsid w:val="00470AE6"/>
    <w:rsid w:val="00470C8C"/>
    <w:rsid w:val="00472AA8"/>
    <w:rsid w:val="00472B34"/>
    <w:rsid w:val="004734D1"/>
    <w:rsid w:val="004745A9"/>
    <w:rsid w:val="00474AFF"/>
    <w:rsid w:val="00474B54"/>
    <w:rsid w:val="00475C8B"/>
    <w:rsid w:val="00476A2C"/>
    <w:rsid w:val="00476E8F"/>
    <w:rsid w:val="00477FD5"/>
    <w:rsid w:val="00480E5C"/>
    <w:rsid w:val="00481AF3"/>
    <w:rsid w:val="00481F1A"/>
    <w:rsid w:val="00482209"/>
    <w:rsid w:val="00482289"/>
    <w:rsid w:val="00482657"/>
    <w:rsid w:val="004826C7"/>
    <w:rsid w:val="0048278B"/>
    <w:rsid w:val="0048293A"/>
    <w:rsid w:val="0048380A"/>
    <w:rsid w:val="00483982"/>
    <w:rsid w:val="00483C72"/>
    <w:rsid w:val="00483FDE"/>
    <w:rsid w:val="00484860"/>
    <w:rsid w:val="00484963"/>
    <w:rsid w:val="00484AAC"/>
    <w:rsid w:val="00485DF1"/>
    <w:rsid w:val="004866F7"/>
    <w:rsid w:val="0048709C"/>
    <w:rsid w:val="00487241"/>
    <w:rsid w:val="0048759C"/>
    <w:rsid w:val="0048774D"/>
    <w:rsid w:val="00487A8C"/>
    <w:rsid w:val="00490E27"/>
    <w:rsid w:val="0049118D"/>
    <w:rsid w:val="004918E3"/>
    <w:rsid w:val="004918EB"/>
    <w:rsid w:val="0049271C"/>
    <w:rsid w:val="00492E72"/>
    <w:rsid w:val="00492FDA"/>
    <w:rsid w:val="004933E0"/>
    <w:rsid w:val="0049344E"/>
    <w:rsid w:val="00493618"/>
    <w:rsid w:val="004953D8"/>
    <w:rsid w:val="0049547A"/>
    <w:rsid w:val="0049550D"/>
    <w:rsid w:val="0049567D"/>
    <w:rsid w:val="00495F5E"/>
    <w:rsid w:val="0049686B"/>
    <w:rsid w:val="00496FB7"/>
    <w:rsid w:val="0049717F"/>
    <w:rsid w:val="004A002E"/>
    <w:rsid w:val="004A0F96"/>
    <w:rsid w:val="004A11D1"/>
    <w:rsid w:val="004A1A27"/>
    <w:rsid w:val="004A1D96"/>
    <w:rsid w:val="004A277A"/>
    <w:rsid w:val="004A2E19"/>
    <w:rsid w:val="004A3CBC"/>
    <w:rsid w:val="004A3F1A"/>
    <w:rsid w:val="004A41CD"/>
    <w:rsid w:val="004A480D"/>
    <w:rsid w:val="004A4B80"/>
    <w:rsid w:val="004A5206"/>
    <w:rsid w:val="004A57A7"/>
    <w:rsid w:val="004A5DEF"/>
    <w:rsid w:val="004A65F6"/>
    <w:rsid w:val="004A6622"/>
    <w:rsid w:val="004A6CFE"/>
    <w:rsid w:val="004A6DBA"/>
    <w:rsid w:val="004A74E2"/>
    <w:rsid w:val="004A7606"/>
    <w:rsid w:val="004A7C19"/>
    <w:rsid w:val="004B01F9"/>
    <w:rsid w:val="004B0A51"/>
    <w:rsid w:val="004B11B7"/>
    <w:rsid w:val="004B125B"/>
    <w:rsid w:val="004B1E5D"/>
    <w:rsid w:val="004B1E6C"/>
    <w:rsid w:val="004B2599"/>
    <w:rsid w:val="004B2A13"/>
    <w:rsid w:val="004B2B65"/>
    <w:rsid w:val="004B33B2"/>
    <w:rsid w:val="004B340C"/>
    <w:rsid w:val="004B38D1"/>
    <w:rsid w:val="004B39B5"/>
    <w:rsid w:val="004B42DE"/>
    <w:rsid w:val="004B4525"/>
    <w:rsid w:val="004B465B"/>
    <w:rsid w:val="004B46BC"/>
    <w:rsid w:val="004B48FF"/>
    <w:rsid w:val="004B560E"/>
    <w:rsid w:val="004B57A4"/>
    <w:rsid w:val="004B58B0"/>
    <w:rsid w:val="004B5D61"/>
    <w:rsid w:val="004B72AF"/>
    <w:rsid w:val="004B75F4"/>
    <w:rsid w:val="004B76FD"/>
    <w:rsid w:val="004B79A0"/>
    <w:rsid w:val="004B7BF6"/>
    <w:rsid w:val="004B7EFD"/>
    <w:rsid w:val="004C086D"/>
    <w:rsid w:val="004C0C71"/>
    <w:rsid w:val="004C132C"/>
    <w:rsid w:val="004C1561"/>
    <w:rsid w:val="004C1A51"/>
    <w:rsid w:val="004C20D0"/>
    <w:rsid w:val="004C31BF"/>
    <w:rsid w:val="004C36F6"/>
    <w:rsid w:val="004C3DF8"/>
    <w:rsid w:val="004C4D4D"/>
    <w:rsid w:val="004C5511"/>
    <w:rsid w:val="004C5FAE"/>
    <w:rsid w:val="004C62BC"/>
    <w:rsid w:val="004C6688"/>
    <w:rsid w:val="004C79BB"/>
    <w:rsid w:val="004C7B30"/>
    <w:rsid w:val="004D0E64"/>
    <w:rsid w:val="004D0EB6"/>
    <w:rsid w:val="004D1398"/>
    <w:rsid w:val="004D17AA"/>
    <w:rsid w:val="004D18AF"/>
    <w:rsid w:val="004D1951"/>
    <w:rsid w:val="004D1D93"/>
    <w:rsid w:val="004D20B3"/>
    <w:rsid w:val="004D24CF"/>
    <w:rsid w:val="004D2628"/>
    <w:rsid w:val="004D2BD4"/>
    <w:rsid w:val="004D2D28"/>
    <w:rsid w:val="004D3F9F"/>
    <w:rsid w:val="004D437F"/>
    <w:rsid w:val="004D4E64"/>
    <w:rsid w:val="004D5295"/>
    <w:rsid w:val="004D5993"/>
    <w:rsid w:val="004D7032"/>
    <w:rsid w:val="004D7881"/>
    <w:rsid w:val="004D7B41"/>
    <w:rsid w:val="004E0FB6"/>
    <w:rsid w:val="004E1C37"/>
    <w:rsid w:val="004E1C80"/>
    <w:rsid w:val="004E1FAA"/>
    <w:rsid w:val="004E2017"/>
    <w:rsid w:val="004E21AE"/>
    <w:rsid w:val="004E2DE6"/>
    <w:rsid w:val="004E3330"/>
    <w:rsid w:val="004E3AB0"/>
    <w:rsid w:val="004E3E0A"/>
    <w:rsid w:val="004E46AB"/>
    <w:rsid w:val="004E5A54"/>
    <w:rsid w:val="004E5D0A"/>
    <w:rsid w:val="004E6753"/>
    <w:rsid w:val="004E69A2"/>
    <w:rsid w:val="004E6F03"/>
    <w:rsid w:val="004E74FA"/>
    <w:rsid w:val="004F0E1B"/>
    <w:rsid w:val="004F0F85"/>
    <w:rsid w:val="004F17FB"/>
    <w:rsid w:val="004F1A9D"/>
    <w:rsid w:val="004F1DF6"/>
    <w:rsid w:val="004F1F17"/>
    <w:rsid w:val="004F2505"/>
    <w:rsid w:val="004F264D"/>
    <w:rsid w:val="004F34BC"/>
    <w:rsid w:val="004F39B6"/>
    <w:rsid w:val="004F4229"/>
    <w:rsid w:val="004F4959"/>
    <w:rsid w:val="004F509C"/>
    <w:rsid w:val="004F53BF"/>
    <w:rsid w:val="004F5442"/>
    <w:rsid w:val="004F5EEB"/>
    <w:rsid w:val="004F675E"/>
    <w:rsid w:val="005001B5"/>
    <w:rsid w:val="00500233"/>
    <w:rsid w:val="00500369"/>
    <w:rsid w:val="00501B5D"/>
    <w:rsid w:val="00502375"/>
    <w:rsid w:val="00502598"/>
    <w:rsid w:val="00502738"/>
    <w:rsid w:val="00502CA3"/>
    <w:rsid w:val="00502F0E"/>
    <w:rsid w:val="005031C2"/>
    <w:rsid w:val="00503930"/>
    <w:rsid w:val="0050497E"/>
    <w:rsid w:val="00504E7A"/>
    <w:rsid w:val="0050505B"/>
    <w:rsid w:val="00505A9D"/>
    <w:rsid w:val="00505DDC"/>
    <w:rsid w:val="005069EF"/>
    <w:rsid w:val="00506CC8"/>
    <w:rsid w:val="00507101"/>
    <w:rsid w:val="005076E1"/>
    <w:rsid w:val="0050792D"/>
    <w:rsid w:val="005105A4"/>
    <w:rsid w:val="0051088C"/>
    <w:rsid w:val="00510CBF"/>
    <w:rsid w:val="00510F63"/>
    <w:rsid w:val="00511273"/>
    <w:rsid w:val="005117B3"/>
    <w:rsid w:val="00511C9B"/>
    <w:rsid w:val="005128E4"/>
    <w:rsid w:val="005129EA"/>
    <w:rsid w:val="0051322B"/>
    <w:rsid w:val="005134A0"/>
    <w:rsid w:val="00513D40"/>
    <w:rsid w:val="00514E46"/>
    <w:rsid w:val="0051505C"/>
    <w:rsid w:val="00515515"/>
    <w:rsid w:val="00515A6F"/>
    <w:rsid w:val="00515C22"/>
    <w:rsid w:val="00515CFF"/>
    <w:rsid w:val="005174A0"/>
    <w:rsid w:val="0051760E"/>
    <w:rsid w:val="00517928"/>
    <w:rsid w:val="00521284"/>
    <w:rsid w:val="005219B9"/>
    <w:rsid w:val="00522472"/>
    <w:rsid w:val="00524337"/>
    <w:rsid w:val="005248DA"/>
    <w:rsid w:val="00524A2A"/>
    <w:rsid w:val="00524E78"/>
    <w:rsid w:val="00525676"/>
    <w:rsid w:val="00525F43"/>
    <w:rsid w:val="00526553"/>
    <w:rsid w:val="005270A7"/>
    <w:rsid w:val="005273D9"/>
    <w:rsid w:val="00527706"/>
    <w:rsid w:val="00527A76"/>
    <w:rsid w:val="0053027C"/>
    <w:rsid w:val="00530801"/>
    <w:rsid w:val="005308D9"/>
    <w:rsid w:val="00530EF9"/>
    <w:rsid w:val="00531CA4"/>
    <w:rsid w:val="00531EE0"/>
    <w:rsid w:val="005326D2"/>
    <w:rsid w:val="00532E3E"/>
    <w:rsid w:val="005338A8"/>
    <w:rsid w:val="005348B0"/>
    <w:rsid w:val="00534925"/>
    <w:rsid w:val="00535D48"/>
    <w:rsid w:val="0053609A"/>
    <w:rsid w:val="00537951"/>
    <w:rsid w:val="00537DB9"/>
    <w:rsid w:val="005408E6"/>
    <w:rsid w:val="00540B64"/>
    <w:rsid w:val="00541669"/>
    <w:rsid w:val="00541802"/>
    <w:rsid w:val="005432AA"/>
    <w:rsid w:val="0054340E"/>
    <w:rsid w:val="00543FCF"/>
    <w:rsid w:val="005448B6"/>
    <w:rsid w:val="00544C17"/>
    <w:rsid w:val="00544DF6"/>
    <w:rsid w:val="00544E2D"/>
    <w:rsid w:val="00544E63"/>
    <w:rsid w:val="0054526D"/>
    <w:rsid w:val="005456B0"/>
    <w:rsid w:val="00545FC6"/>
    <w:rsid w:val="00546441"/>
    <w:rsid w:val="00546B3F"/>
    <w:rsid w:val="00547187"/>
    <w:rsid w:val="005479CD"/>
    <w:rsid w:val="005479F6"/>
    <w:rsid w:val="0055013F"/>
    <w:rsid w:val="00550E7E"/>
    <w:rsid w:val="0055172A"/>
    <w:rsid w:val="00551735"/>
    <w:rsid w:val="00552817"/>
    <w:rsid w:val="005533A5"/>
    <w:rsid w:val="00553493"/>
    <w:rsid w:val="0055398E"/>
    <w:rsid w:val="005541CA"/>
    <w:rsid w:val="005550A2"/>
    <w:rsid w:val="00555536"/>
    <w:rsid w:val="00555566"/>
    <w:rsid w:val="0055571A"/>
    <w:rsid w:val="0055592C"/>
    <w:rsid w:val="00555936"/>
    <w:rsid w:val="0056072B"/>
    <w:rsid w:val="0056077F"/>
    <w:rsid w:val="005619C6"/>
    <w:rsid w:val="005638BC"/>
    <w:rsid w:val="00564743"/>
    <w:rsid w:val="00564819"/>
    <w:rsid w:val="00564A40"/>
    <w:rsid w:val="00564E42"/>
    <w:rsid w:val="00565285"/>
    <w:rsid w:val="00565497"/>
    <w:rsid w:val="005659DA"/>
    <w:rsid w:val="00566065"/>
    <w:rsid w:val="0056671C"/>
    <w:rsid w:val="00566766"/>
    <w:rsid w:val="005678A8"/>
    <w:rsid w:val="00567B70"/>
    <w:rsid w:val="00567C38"/>
    <w:rsid w:val="005700B3"/>
    <w:rsid w:val="00570666"/>
    <w:rsid w:val="00570811"/>
    <w:rsid w:val="00570888"/>
    <w:rsid w:val="00570F46"/>
    <w:rsid w:val="00571068"/>
    <w:rsid w:val="00571F8A"/>
    <w:rsid w:val="005728FE"/>
    <w:rsid w:val="00572A46"/>
    <w:rsid w:val="00572EFE"/>
    <w:rsid w:val="00572F44"/>
    <w:rsid w:val="005731A0"/>
    <w:rsid w:val="00573FB8"/>
    <w:rsid w:val="00574113"/>
    <w:rsid w:val="005744BD"/>
    <w:rsid w:val="00575003"/>
    <w:rsid w:val="00575D42"/>
    <w:rsid w:val="00576296"/>
    <w:rsid w:val="00576786"/>
    <w:rsid w:val="00576D5E"/>
    <w:rsid w:val="00576DFC"/>
    <w:rsid w:val="0057709F"/>
    <w:rsid w:val="00577371"/>
    <w:rsid w:val="00577B5A"/>
    <w:rsid w:val="005805CC"/>
    <w:rsid w:val="005807F0"/>
    <w:rsid w:val="0058115D"/>
    <w:rsid w:val="005818E9"/>
    <w:rsid w:val="005829E6"/>
    <w:rsid w:val="00582AA6"/>
    <w:rsid w:val="00582ABC"/>
    <w:rsid w:val="00583BEA"/>
    <w:rsid w:val="0058440D"/>
    <w:rsid w:val="00585935"/>
    <w:rsid w:val="00585AE9"/>
    <w:rsid w:val="00585B2C"/>
    <w:rsid w:val="005862D6"/>
    <w:rsid w:val="00586AFA"/>
    <w:rsid w:val="00586F1F"/>
    <w:rsid w:val="005870C0"/>
    <w:rsid w:val="0059044B"/>
    <w:rsid w:val="005906D1"/>
    <w:rsid w:val="005908FD"/>
    <w:rsid w:val="00590ADA"/>
    <w:rsid w:val="00591032"/>
    <w:rsid w:val="00591123"/>
    <w:rsid w:val="00591EFB"/>
    <w:rsid w:val="00592846"/>
    <w:rsid w:val="00592A63"/>
    <w:rsid w:val="00592E53"/>
    <w:rsid w:val="00594629"/>
    <w:rsid w:val="00595AAF"/>
    <w:rsid w:val="00595B64"/>
    <w:rsid w:val="005961E0"/>
    <w:rsid w:val="0059633D"/>
    <w:rsid w:val="005976AB"/>
    <w:rsid w:val="005976E6"/>
    <w:rsid w:val="005A0CDA"/>
    <w:rsid w:val="005A14D3"/>
    <w:rsid w:val="005A186C"/>
    <w:rsid w:val="005A1AD6"/>
    <w:rsid w:val="005A4826"/>
    <w:rsid w:val="005A5A2F"/>
    <w:rsid w:val="005A76CF"/>
    <w:rsid w:val="005B12D7"/>
    <w:rsid w:val="005B15D5"/>
    <w:rsid w:val="005B18AC"/>
    <w:rsid w:val="005B2102"/>
    <w:rsid w:val="005B2558"/>
    <w:rsid w:val="005B2B95"/>
    <w:rsid w:val="005B2F1F"/>
    <w:rsid w:val="005B2FF0"/>
    <w:rsid w:val="005B3CDF"/>
    <w:rsid w:val="005B4591"/>
    <w:rsid w:val="005B4DB9"/>
    <w:rsid w:val="005B502F"/>
    <w:rsid w:val="005B5826"/>
    <w:rsid w:val="005B66E6"/>
    <w:rsid w:val="005B69BE"/>
    <w:rsid w:val="005B6B00"/>
    <w:rsid w:val="005B6E04"/>
    <w:rsid w:val="005B723D"/>
    <w:rsid w:val="005B7E2E"/>
    <w:rsid w:val="005C01C9"/>
    <w:rsid w:val="005C06F5"/>
    <w:rsid w:val="005C0E82"/>
    <w:rsid w:val="005C1704"/>
    <w:rsid w:val="005C1D84"/>
    <w:rsid w:val="005C1FB7"/>
    <w:rsid w:val="005C1FD8"/>
    <w:rsid w:val="005C27BD"/>
    <w:rsid w:val="005C2E86"/>
    <w:rsid w:val="005C3DAF"/>
    <w:rsid w:val="005C4268"/>
    <w:rsid w:val="005C4408"/>
    <w:rsid w:val="005C5A6F"/>
    <w:rsid w:val="005C6D11"/>
    <w:rsid w:val="005D0D75"/>
    <w:rsid w:val="005D0F66"/>
    <w:rsid w:val="005D1391"/>
    <w:rsid w:val="005D1675"/>
    <w:rsid w:val="005D1F42"/>
    <w:rsid w:val="005D38F3"/>
    <w:rsid w:val="005D392F"/>
    <w:rsid w:val="005D3B25"/>
    <w:rsid w:val="005D4B7F"/>
    <w:rsid w:val="005D52DE"/>
    <w:rsid w:val="005D537F"/>
    <w:rsid w:val="005D59ED"/>
    <w:rsid w:val="005D5AD2"/>
    <w:rsid w:val="005D6601"/>
    <w:rsid w:val="005D67BF"/>
    <w:rsid w:val="005D6B19"/>
    <w:rsid w:val="005D7B1C"/>
    <w:rsid w:val="005D7C90"/>
    <w:rsid w:val="005E022B"/>
    <w:rsid w:val="005E0E1B"/>
    <w:rsid w:val="005E2C0A"/>
    <w:rsid w:val="005E3513"/>
    <w:rsid w:val="005E38B5"/>
    <w:rsid w:val="005E40FC"/>
    <w:rsid w:val="005E48A7"/>
    <w:rsid w:val="005E51A0"/>
    <w:rsid w:val="005E536A"/>
    <w:rsid w:val="005E558A"/>
    <w:rsid w:val="005E5A23"/>
    <w:rsid w:val="005E624D"/>
    <w:rsid w:val="005E6BD3"/>
    <w:rsid w:val="005E7079"/>
    <w:rsid w:val="005E7DC6"/>
    <w:rsid w:val="005E7E64"/>
    <w:rsid w:val="005F004C"/>
    <w:rsid w:val="005F19A3"/>
    <w:rsid w:val="005F19F5"/>
    <w:rsid w:val="005F24BD"/>
    <w:rsid w:val="005F325D"/>
    <w:rsid w:val="005F40FA"/>
    <w:rsid w:val="005F4A0F"/>
    <w:rsid w:val="005F5195"/>
    <w:rsid w:val="005F5FCF"/>
    <w:rsid w:val="005F668C"/>
    <w:rsid w:val="005F6CC7"/>
    <w:rsid w:val="005F7338"/>
    <w:rsid w:val="005F7BD3"/>
    <w:rsid w:val="00600934"/>
    <w:rsid w:val="006019CD"/>
    <w:rsid w:val="00601D28"/>
    <w:rsid w:val="00604251"/>
    <w:rsid w:val="0060451E"/>
    <w:rsid w:val="00604B35"/>
    <w:rsid w:val="00605348"/>
    <w:rsid w:val="0060764A"/>
    <w:rsid w:val="00607C2D"/>
    <w:rsid w:val="0061023F"/>
    <w:rsid w:val="006102E5"/>
    <w:rsid w:val="006105E3"/>
    <w:rsid w:val="00611149"/>
    <w:rsid w:val="00611905"/>
    <w:rsid w:val="0061287F"/>
    <w:rsid w:val="00612B80"/>
    <w:rsid w:val="00613096"/>
    <w:rsid w:val="00613149"/>
    <w:rsid w:val="00613741"/>
    <w:rsid w:val="00613BC8"/>
    <w:rsid w:val="00613C1E"/>
    <w:rsid w:val="00613F51"/>
    <w:rsid w:val="00614970"/>
    <w:rsid w:val="00614F77"/>
    <w:rsid w:val="0061507D"/>
    <w:rsid w:val="00615B83"/>
    <w:rsid w:val="00616850"/>
    <w:rsid w:val="00617708"/>
    <w:rsid w:val="00617D94"/>
    <w:rsid w:val="0062012D"/>
    <w:rsid w:val="00621290"/>
    <w:rsid w:val="00621F3D"/>
    <w:rsid w:val="00622072"/>
    <w:rsid w:val="0062292C"/>
    <w:rsid w:val="0062303F"/>
    <w:rsid w:val="00623565"/>
    <w:rsid w:val="00623D73"/>
    <w:rsid w:val="00624696"/>
    <w:rsid w:val="00624B8F"/>
    <w:rsid w:val="0062577E"/>
    <w:rsid w:val="006263A1"/>
    <w:rsid w:val="00627682"/>
    <w:rsid w:val="00627D4F"/>
    <w:rsid w:val="00627E8E"/>
    <w:rsid w:val="006313BC"/>
    <w:rsid w:val="006314B7"/>
    <w:rsid w:val="0063186B"/>
    <w:rsid w:val="006321B6"/>
    <w:rsid w:val="00632203"/>
    <w:rsid w:val="006324F1"/>
    <w:rsid w:val="00632836"/>
    <w:rsid w:val="00634390"/>
    <w:rsid w:val="00634BA5"/>
    <w:rsid w:val="00634C95"/>
    <w:rsid w:val="00634DF2"/>
    <w:rsid w:val="00635BC7"/>
    <w:rsid w:val="00635FD1"/>
    <w:rsid w:val="00636E66"/>
    <w:rsid w:val="00637487"/>
    <w:rsid w:val="006378FE"/>
    <w:rsid w:val="00637A86"/>
    <w:rsid w:val="00637CC0"/>
    <w:rsid w:val="00641894"/>
    <w:rsid w:val="00641AAB"/>
    <w:rsid w:val="00642A2B"/>
    <w:rsid w:val="00644038"/>
    <w:rsid w:val="00644E6E"/>
    <w:rsid w:val="0064638A"/>
    <w:rsid w:val="006469A6"/>
    <w:rsid w:val="00647798"/>
    <w:rsid w:val="00647878"/>
    <w:rsid w:val="00647B4D"/>
    <w:rsid w:val="006506F6"/>
    <w:rsid w:val="006507AB"/>
    <w:rsid w:val="006508AA"/>
    <w:rsid w:val="00650A9E"/>
    <w:rsid w:val="0065199D"/>
    <w:rsid w:val="00651B50"/>
    <w:rsid w:val="00652D89"/>
    <w:rsid w:val="00653065"/>
    <w:rsid w:val="006539A8"/>
    <w:rsid w:val="00653CE6"/>
    <w:rsid w:val="00653EA3"/>
    <w:rsid w:val="00654220"/>
    <w:rsid w:val="006548C4"/>
    <w:rsid w:val="00655352"/>
    <w:rsid w:val="00655523"/>
    <w:rsid w:val="00656FE9"/>
    <w:rsid w:val="0066036F"/>
    <w:rsid w:val="00662042"/>
    <w:rsid w:val="006621C4"/>
    <w:rsid w:val="00662985"/>
    <w:rsid w:val="00662BF7"/>
    <w:rsid w:val="0066368C"/>
    <w:rsid w:val="0066373E"/>
    <w:rsid w:val="00663E0A"/>
    <w:rsid w:val="00663F14"/>
    <w:rsid w:val="00664505"/>
    <w:rsid w:val="00664741"/>
    <w:rsid w:val="00664DEC"/>
    <w:rsid w:val="006652F5"/>
    <w:rsid w:val="00665634"/>
    <w:rsid w:val="006656B5"/>
    <w:rsid w:val="0066577A"/>
    <w:rsid w:val="00665BA4"/>
    <w:rsid w:val="006672C3"/>
    <w:rsid w:val="00667385"/>
    <w:rsid w:val="006673BE"/>
    <w:rsid w:val="00667D96"/>
    <w:rsid w:val="00670F5D"/>
    <w:rsid w:val="006711F1"/>
    <w:rsid w:val="00671A6F"/>
    <w:rsid w:val="00672407"/>
    <w:rsid w:val="00674759"/>
    <w:rsid w:val="00674FA3"/>
    <w:rsid w:val="006751C4"/>
    <w:rsid w:val="00675694"/>
    <w:rsid w:val="00676012"/>
    <w:rsid w:val="00676830"/>
    <w:rsid w:val="00676D40"/>
    <w:rsid w:val="006774F7"/>
    <w:rsid w:val="0068007B"/>
    <w:rsid w:val="006809CD"/>
    <w:rsid w:val="0068122F"/>
    <w:rsid w:val="00681A34"/>
    <w:rsid w:val="00681AA4"/>
    <w:rsid w:val="00681DBE"/>
    <w:rsid w:val="0068267E"/>
    <w:rsid w:val="00682ABB"/>
    <w:rsid w:val="0068367A"/>
    <w:rsid w:val="006847E7"/>
    <w:rsid w:val="00685061"/>
    <w:rsid w:val="006854DD"/>
    <w:rsid w:val="00685B6F"/>
    <w:rsid w:val="00685BFA"/>
    <w:rsid w:val="00685D0B"/>
    <w:rsid w:val="0068652E"/>
    <w:rsid w:val="006866D9"/>
    <w:rsid w:val="0068750A"/>
    <w:rsid w:val="00687686"/>
    <w:rsid w:val="00687D4D"/>
    <w:rsid w:val="00690B18"/>
    <w:rsid w:val="006919B9"/>
    <w:rsid w:val="00691E4C"/>
    <w:rsid w:val="00692337"/>
    <w:rsid w:val="00692698"/>
    <w:rsid w:val="006926C6"/>
    <w:rsid w:val="00692C66"/>
    <w:rsid w:val="00692CCA"/>
    <w:rsid w:val="00693947"/>
    <w:rsid w:val="006942B3"/>
    <w:rsid w:val="006942C5"/>
    <w:rsid w:val="00694442"/>
    <w:rsid w:val="006947E7"/>
    <w:rsid w:val="00695241"/>
    <w:rsid w:val="006956A5"/>
    <w:rsid w:val="006960AE"/>
    <w:rsid w:val="00696DAD"/>
    <w:rsid w:val="00697038"/>
    <w:rsid w:val="0069764C"/>
    <w:rsid w:val="00697E9D"/>
    <w:rsid w:val="006A028A"/>
    <w:rsid w:val="006A03FA"/>
    <w:rsid w:val="006A0BB8"/>
    <w:rsid w:val="006A1046"/>
    <w:rsid w:val="006A1518"/>
    <w:rsid w:val="006A18C0"/>
    <w:rsid w:val="006A1E09"/>
    <w:rsid w:val="006A24CE"/>
    <w:rsid w:val="006A3DC8"/>
    <w:rsid w:val="006A4021"/>
    <w:rsid w:val="006A42CB"/>
    <w:rsid w:val="006A495A"/>
    <w:rsid w:val="006A4F89"/>
    <w:rsid w:val="006A5A37"/>
    <w:rsid w:val="006A5CE0"/>
    <w:rsid w:val="006A6761"/>
    <w:rsid w:val="006A6F65"/>
    <w:rsid w:val="006A7027"/>
    <w:rsid w:val="006A73E2"/>
    <w:rsid w:val="006B0344"/>
    <w:rsid w:val="006B0D4A"/>
    <w:rsid w:val="006B14A3"/>
    <w:rsid w:val="006B14ED"/>
    <w:rsid w:val="006B1996"/>
    <w:rsid w:val="006B2003"/>
    <w:rsid w:val="006B29E4"/>
    <w:rsid w:val="006B2C64"/>
    <w:rsid w:val="006B3971"/>
    <w:rsid w:val="006B47C0"/>
    <w:rsid w:val="006B488A"/>
    <w:rsid w:val="006B4DFF"/>
    <w:rsid w:val="006B5AB6"/>
    <w:rsid w:val="006B6448"/>
    <w:rsid w:val="006B6890"/>
    <w:rsid w:val="006B7111"/>
    <w:rsid w:val="006B7E5E"/>
    <w:rsid w:val="006C0215"/>
    <w:rsid w:val="006C0755"/>
    <w:rsid w:val="006C1090"/>
    <w:rsid w:val="006C14AC"/>
    <w:rsid w:val="006C18A9"/>
    <w:rsid w:val="006C22DC"/>
    <w:rsid w:val="006C242F"/>
    <w:rsid w:val="006C28F7"/>
    <w:rsid w:val="006C29A4"/>
    <w:rsid w:val="006C37B4"/>
    <w:rsid w:val="006C3D86"/>
    <w:rsid w:val="006C4218"/>
    <w:rsid w:val="006C426D"/>
    <w:rsid w:val="006C450B"/>
    <w:rsid w:val="006C46FE"/>
    <w:rsid w:val="006C483C"/>
    <w:rsid w:val="006C7018"/>
    <w:rsid w:val="006C7C98"/>
    <w:rsid w:val="006D1295"/>
    <w:rsid w:val="006D158E"/>
    <w:rsid w:val="006D17D5"/>
    <w:rsid w:val="006D252B"/>
    <w:rsid w:val="006D2A02"/>
    <w:rsid w:val="006D3799"/>
    <w:rsid w:val="006D3AE0"/>
    <w:rsid w:val="006D4C67"/>
    <w:rsid w:val="006D4D5A"/>
    <w:rsid w:val="006D4F30"/>
    <w:rsid w:val="006D50FA"/>
    <w:rsid w:val="006D628A"/>
    <w:rsid w:val="006D628C"/>
    <w:rsid w:val="006D6C97"/>
    <w:rsid w:val="006D6D8E"/>
    <w:rsid w:val="006D78B2"/>
    <w:rsid w:val="006D7CB5"/>
    <w:rsid w:val="006E05BE"/>
    <w:rsid w:val="006E1DAB"/>
    <w:rsid w:val="006E2C37"/>
    <w:rsid w:val="006E2DD9"/>
    <w:rsid w:val="006E2E5F"/>
    <w:rsid w:val="006E30B3"/>
    <w:rsid w:val="006E3A8C"/>
    <w:rsid w:val="006E4BCF"/>
    <w:rsid w:val="006E5789"/>
    <w:rsid w:val="006E5A3F"/>
    <w:rsid w:val="006E5FB8"/>
    <w:rsid w:val="006E6667"/>
    <w:rsid w:val="006E7011"/>
    <w:rsid w:val="006E7128"/>
    <w:rsid w:val="006E721B"/>
    <w:rsid w:val="006E7629"/>
    <w:rsid w:val="006E7ED3"/>
    <w:rsid w:val="006F02B0"/>
    <w:rsid w:val="006F08E6"/>
    <w:rsid w:val="006F0C3F"/>
    <w:rsid w:val="006F181C"/>
    <w:rsid w:val="006F18B4"/>
    <w:rsid w:val="006F1CBE"/>
    <w:rsid w:val="006F1CC1"/>
    <w:rsid w:val="006F280D"/>
    <w:rsid w:val="006F367E"/>
    <w:rsid w:val="006F412D"/>
    <w:rsid w:val="006F4510"/>
    <w:rsid w:val="006F4982"/>
    <w:rsid w:val="006F54AD"/>
    <w:rsid w:val="006F5ACD"/>
    <w:rsid w:val="006F5F67"/>
    <w:rsid w:val="006F63B2"/>
    <w:rsid w:val="00700306"/>
    <w:rsid w:val="0070086C"/>
    <w:rsid w:val="00701AFB"/>
    <w:rsid w:val="00702419"/>
    <w:rsid w:val="00702CE4"/>
    <w:rsid w:val="00702EB6"/>
    <w:rsid w:val="00703466"/>
    <w:rsid w:val="007035E2"/>
    <w:rsid w:val="00703818"/>
    <w:rsid w:val="00704147"/>
    <w:rsid w:val="007049B7"/>
    <w:rsid w:val="00704EDE"/>
    <w:rsid w:val="00705B08"/>
    <w:rsid w:val="00706B13"/>
    <w:rsid w:val="00707515"/>
    <w:rsid w:val="00707EB2"/>
    <w:rsid w:val="0071018D"/>
    <w:rsid w:val="00710460"/>
    <w:rsid w:val="00710FF8"/>
    <w:rsid w:val="00711436"/>
    <w:rsid w:val="007119BD"/>
    <w:rsid w:val="00711C5A"/>
    <w:rsid w:val="00712813"/>
    <w:rsid w:val="007129E4"/>
    <w:rsid w:val="0071341C"/>
    <w:rsid w:val="0071437B"/>
    <w:rsid w:val="00714AF4"/>
    <w:rsid w:val="007150B4"/>
    <w:rsid w:val="00720051"/>
    <w:rsid w:val="007204AC"/>
    <w:rsid w:val="0072050B"/>
    <w:rsid w:val="00720683"/>
    <w:rsid w:val="00720BE1"/>
    <w:rsid w:val="00721210"/>
    <w:rsid w:val="007215F4"/>
    <w:rsid w:val="007237FB"/>
    <w:rsid w:val="00723E22"/>
    <w:rsid w:val="007240D6"/>
    <w:rsid w:val="0072473C"/>
    <w:rsid w:val="0072475F"/>
    <w:rsid w:val="00724878"/>
    <w:rsid w:val="00724F2F"/>
    <w:rsid w:val="00725467"/>
    <w:rsid w:val="007255E7"/>
    <w:rsid w:val="00727480"/>
    <w:rsid w:val="00730C97"/>
    <w:rsid w:val="0073173B"/>
    <w:rsid w:val="00731F2E"/>
    <w:rsid w:val="0073262C"/>
    <w:rsid w:val="007335DC"/>
    <w:rsid w:val="00734926"/>
    <w:rsid w:val="007352CA"/>
    <w:rsid w:val="0073568D"/>
    <w:rsid w:val="00735BDC"/>
    <w:rsid w:val="0073619F"/>
    <w:rsid w:val="00736660"/>
    <w:rsid w:val="00737C48"/>
    <w:rsid w:val="00740299"/>
    <w:rsid w:val="00740AF6"/>
    <w:rsid w:val="00740CE7"/>
    <w:rsid w:val="00740E72"/>
    <w:rsid w:val="00740F57"/>
    <w:rsid w:val="0074100D"/>
    <w:rsid w:val="007414CC"/>
    <w:rsid w:val="007416C5"/>
    <w:rsid w:val="007420DE"/>
    <w:rsid w:val="0074285D"/>
    <w:rsid w:val="007428F0"/>
    <w:rsid w:val="007433B6"/>
    <w:rsid w:val="007445D2"/>
    <w:rsid w:val="00744CC4"/>
    <w:rsid w:val="00744F36"/>
    <w:rsid w:val="0074522F"/>
    <w:rsid w:val="00746C50"/>
    <w:rsid w:val="00746E48"/>
    <w:rsid w:val="007470F1"/>
    <w:rsid w:val="00747106"/>
    <w:rsid w:val="0074745E"/>
    <w:rsid w:val="00752643"/>
    <w:rsid w:val="00752785"/>
    <w:rsid w:val="007536EA"/>
    <w:rsid w:val="00753736"/>
    <w:rsid w:val="00753D85"/>
    <w:rsid w:val="00755403"/>
    <w:rsid w:val="0075541A"/>
    <w:rsid w:val="007565EE"/>
    <w:rsid w:val="007572A8"/>
    <w:rsid w:val="00757A06"/>
    <w:rsid w:val="00757D99"/>
    <w:rsid w:val="00761536"/>
    <w:rsid w:val="007615AD"/>
    <w:rsid w:val="0076229B"/>
    <w:rsid w:val="007628B2"/>
    <w:rsid w:val="00762946"/>
    <w:rsid w:val="00764213"/>
    <w:rsid w:val="0076435C"/>
    <w:rsid w:val="007644C4"/>
    <w:rsid w:val="007651C1"/>
    <w:rsid w:val="0076651F"/>
    <w:rsid w:val="0076656F"/>
    <w:rsid w:val="00766C37"/>
    <w:rsid w:val="00767819"/>
    <w:rsid w:val="00770AE6"/>
    <w:rsid w:val="00770B7D"/>
    <w:rsid w:val="00770C9E"/>
    <w:rsid w:val="007718DE"/>
    <w:rsid w:val="007718F7"/>
    <w:rsid w:val="00771E56"/>
    <w:rsid w:val="00772AF7"/>
    <w:rsid w:val="00772CEE"/>
    <w:rsid w:val="007732C1"/>
    <w:rsid w:val="00773F99"/>
    <w:rsid w:val="00773F9C"/>
    <w:rsid w:val="007747BF"/>
    <w:rsid w:val="00774838"/>
    <w:rsid w:val="00774C89"/>
    <w:rsid w:val="00774D7F"/>
    <w:rsid w:val="00775A92"/>
    <w:rsid w:val="00775DC7"/>
    <w:rsid w:val="007760C8"/>
    <w:rsid w:val="00776233"/>
    <w:rsid w:val="00776657"/>
    <w:rsid w:val="00776CA2"/>
    <w:rsid w:val="00776D35"/>
    <w:rsid w:val="00776FB7"/>
    <w:rsid w:val="00777683"/>
    <w:rsid w:val="00777D6F"/>
    <w:rsid w:val="00777DCC"/>
    <w:rsid w:val="0078110C"/>
    <w:rsid w:val="00781D47"/>
    <w:rsid w:val="00782231"/>
    <w:rsid w:val="00782B10"/>
    <w:rsid w:val="007834EE"/>
    <w:rsid w:val="00783AA7"/>
    <w:rsid w:val="00785E7D"/>
    <w:rsid w:val="00785EF4"/>
    <w:rsid w:val="00786AD8"/>
    <w:rsid w:val="00786F65"/>
    <w:rsid w:val="007873B6"/>
    <w:rsid w:val="00787860"/>
    <w:rsid w:val="00790CFC"/>
    <w:rsid w:val="00791396"/>
    <w:rsid w:val="0079158B"/>
    <w:rsid w:val="0079362D"/>
    <w:rsid w:val="0079520E"/>
    <w:rsid w:val="00795EF7"/>
    <w:rsid w:val="00796384"/>
    <w:rsid w:val="00796881"/>
    <w:rsid w:val="0079690E"/>
    <w:rsid w:val="00797614"/>
    <w:rsid w:val="007A1140"/>
    <w:rsid w:val="007A2088"/>
    <w:rsid w:val="007A2495"/>
    <w:rsid w:val="007A258C"/>
    <w:rsid w:val="007A2D06"/>
    <w:rsid w:val="007A3770"/>
    <w:rsid w:val="007A3B0E"/>
    <w:rsid w:val="007A3C32"/>
    <w:rsid w:val="007A3CCD"/>
    <w:rsid w:val="007A3D42"/>
    <w:rsid w:val="007A3F80"/>
    <w:rsid w:val="007A4085"/>
    <w:rsid w:val="007A45F8"/>
    <w:rsid w:val="007A4CBE"/>
    <w:rsid w:val="007A4D0B"/>
    <w:rsid w:val="007A6FE2"/>
    <w:rsid w:val="007A7246"/>
    <w:rsid w:val="007A7F9A"/>
    <w:rsid w:val="007B0632"/>
    <w:rsid w:val="007B0BEB"/>
    <w:rsid w:val="007B0C2A"/>
    <w:rsid w:val="007B1905"/>
    <w:rsid w:val="007B3ADD"/>
    <w:rsid w:val="007B3F9B"/>
    <w:rsid w:val="007B40F9"/>
    <w:rsid w:val="007B4B74"/>
    <w:rsid w:val="007B4D5C"/>
    <w:rsid w:val="007B563E"/>
    <w:rsid w:val="007B5731"/>
    <w:rsid w:val="007B576A"/>
    <w:rsid w:val="007B5D9C"/>
    <w:rsid w:val="007B6036"/>
    <w:rsid w:val="007B69E2"/>
    <w:rsid w:val="007B6FCC"/>
    <w:rsid w:val="007B71E8"/>
    <w:rsid w:val="007C0098"/>
    <w:rsid w:val="007C02E6"/>
    <w:rsid w:val="007C0755"/>
    <w:rsid w:val="007C13F3"/>
    <w:rsid w:val="007C1464"/>
    <w:rsid w:val="007C188A"/>
    <w:rsid w:val="007C1E3C"/>
    <w:rsid w:val="007C20AC"/>
    <w:rsid w:val="007C268A"/>
    <w:rsid w:val="007C30D2"/>
    <w:rsid w:val="007C524F"/>
    <w:rsid w:val="007C52F8"/>
    <w:rsid w:val="007C54C3"/>
    <w:rsid w:val="007C610F"/>
    <w:rsid w:val="007C65CE"/>
    <w:rsid w:val="007C6DBD"/>
    <w:rsid w:val="007C7ED1"/>
    <w:rsid w:val="007D0788"/>
    <w:rsid w:val="007D0BEB"/>
    <w:rsid w:val="007D1311"/>
    <w:rsid w:val="007D1FA9"/>
    <w:rsid w:val="007D3ABC"/>
    <w:rsid w:val="007D3D1B"/>
    <w:rsid w:val="007D3EE2"/>
    <w:rsid w:val="007D42C0"/>
    <w:rsid w:val="007D4304"/>
    <w:rsid w:val="007D44D7"/>
    <w:rsid w:val="007D4EE6"/>
    <w:rsid w:val="007D533A"/>
    <w:rsid w:val="007D6AFD"/>
    <w:rsid w:val="007D6DAB"/>
    <w:rsid w:val="007D7402"/>
    <w:rsid w:val="007D7903"/>
    <w:rsid w:val="007D7939"/>
    <w:rsid w:val="007D79E8"/>
    <w:rsid w:val="007E03E5"/>
    <w:rsid w:val="007E0CF4"/>
    <w:rsid w:val="007E106C"/>
    <w:rsid w:val="007E26FF"/>
    <w:rsid w:val="007E2A19"/>
    <w:rsid w:val="007E2B4B"/>
    <w:rsid w:val="007E2E91"/>
    <w:rsid w:val="007E30CE"/>
    <w:rsid w:val="007E373D"/>
    <w:rsid w:val="007E4B7C"/>
    <w:rsid w:val="007E4D69"/>
    <w:rsid w:val="007E4DA4"/>
    <w:rsid w:val="007E5545"/>
    <w:rsid w:val="007E655D"/>
    <w:rsid w:val="007E694E"/>
    <w:rsid w:val="007E7286"/>
    <w:rsid w:val="007E74FD"/>
    <w:rsid w:val="007E75DD"/>
    <w:rsid w:val="007F0664"/>
    <w:rsid w:val="007F1734"/>
    <w:rsid w:val="007F1F23"/>
    <w:rsid w:val="007F1F97"/>
    <w:rsid w:val="007F2BA8"/>
    <w:rsid w:val="007F47B6"/>
    <w:rsid w:val="007F4A70"/>
    <w:rsid w:val="007F4F0A"/>
    <w:rsid w:val="007F582F"/>
    <w:rsid w:val="007F633D"/>
    <w:rsid w:val="007F6AAB"/>
    <w:rsid w:val="007F6E6B"/>
    <w:rsid w:val="0080153A"/>
    <w:rsid w:val="00801AB5"/>
    <w:rsid w:val="00801B46"/>
    <w:rsid w:val="00801F23"/>
    <w:rsid w:val="00802B2E"/>
    <w:rsid w:val="008030CB"/>
    <w:rsid w:val="00803292"/>
    <w:rsid w:val="00803BDF"/>
    <w:rsid w:val="008041A8"/>
    <w:rsid w:val="008041FE"/>
    <w:rsid w:val="00804977"/>
    <w:rsid w:val="00805DCE"/>
    <w:rsid w:val="00806152"/>
    <w:rsid w:val="00807298"/>
    <w:rsid w:val="008078A5"/>
    <w:rsid w:val="00807C46"/>
    <w:rsid w:val="00807E47"/>
    <w:rsid w:val="0081191B"/>
    <w:rsid w:val="00811998"/>
    <w:rsid w:val="00811F69"/>
    <w:rsid w:val="00812307"/>
    <w:rsid w:val="00812E6E"/>
    <w:rsid w:val="00812EB9"/>
    <w:rsid w:val="0081393F"/>
    <w:rsid w:val="00813B9D"/>
    <w:rsid w:val="008151BB"/>
    <w:rsid w:val="00815748"/>
    <w:rsid w:val="00815D38"/>
    <w:rsid w:val="00815E7C"/>
    <w:rsid w:val="0081694B"/>
    <w:rsid w:val="00816A71"/>
    <w:rsid w:val="00816AFB"/>
    <w:rsid w:val="00816B66"/>
    <w:rsid w:val="00816C2E"/>
    <w:rsid w:val="008173AF"/>
    <w:rsid w:val="00817400"/>
    <w:rsid w:val="0081773D"/>
    <w:rsid w:val="00821217"/>
    <w:rsid w:val="0082299A"/>
    <w:rsid w:val="008245F4"/>
    <w:rsid w:val="00824843"/>
    <w:rsid w:val="00825335"/>
    <w:rsid w:val="00825580"/>
    <w:rsid w:val="00826BE7"/>
    <w:rsid w:val="00826FB1"/>
    <w:rsid w:val="00827466"/>
    <w:rsid w:val="008275D5"/>
    <w:rsid w:val="00827711"/>
    <w:rsid w:val="00827928"/>
    <w:rsid w:val="00830865"/>
    <w:rsid w:val="00830C5A"/>
    <w:rsid w:val="00831245"/>
    <w:rsid w:val="008327AB"/>
    <w:rsid w:val="00833916"/>
    <w:rsid w:val="00833C72"/>
    <w:rsid w:val="0083443B"/>
    <w:rsid w:val="008345ED"/>
    <w:rsid w:val="00834A32"/>
    <w:rsid w:val="00834E04"/>
    <w:rsid w:val="00835400"/>
    <w:rsid w:val="00836BC1"/>
    <w:rsid w:val="00837AF4"/>
    <w:rsid w:val="00837E62"/>
    <w:rsid w:val="00837FAE"/>
    <w:rsid w:val="00841AD7"/>
    <w:rsid w:val="008423BA"/>
    <w:rsid w:val="0084288D"/>
    <w:rsid w:val="008428E3"/>
    <w:rsid w:val="0084297D"/>
    <w:rsid w:val="0084298A"/>
    <w:rsid w:val="00842B7D"/>
    <w:rsid w:val="00842D84"/>
    <w:rsid w:val="00843B80"/>
    <w:rsid w:val="008442C9"/>
    <w:rsid w:val="00844EDB"/>
    <w:rsid w:val="00844FEF"/>
    <w:rsid w:val="008506EB"/>
    <w:rsid w:val="008509D7"/>
    <w:rsid w:val="00850CEB"/>
    <w:rsid w:val="00850CEC"/>
    <w:rsid w:val="00851AF2"/>
    <w:rsid w:val="0085214D"/>
    <w:rsid w:val="0085276A"/>
    <w:rsid w:val="008527CB"/>
    <w:rsid w:val="00852C48"/>
    <w:rsid w:val="0085344A"/>
    <w:rsid w:val="00853751"/>
    <w:rsid w:val="00853D50"/>
    <w:rsid w:val="00854938"/>
    <w:rsid w:val="008549C4"/>
    <w:rsid w:val="00854DA5"/>
    <w:rsid w:val="00855AC7"/>
    <w:rsid w:val="00856221"/>
    <w:rsid w:val="008568F7"/>
    <w:rsid w:val="00857076"/>
    <w:rsid w:val="0085722C"/>
    <w:rsid w:val="00857D55"/>
    <w:rsid w:val="00860208"/>
    <w:rsid w:val="00861379"/>
    <w:rsid w:val="00862D49"/>
    <w:rsid w:val="00862F8D"/>
    <w:rsid w:val="00863822"/>
    <w:rsid w:val="0086455E"/>
    <w:rsid w:val="008645CF"/>
    <w:rsid w:val="00864ABB"/>
    <w:rsid w:val="00865B38"/>
    <w:rsid w:val="00865C29"/>
    <w:rsid w:val="00865C47"/>
    <w:rsid w:val="00866170"/>
    <w:rsid w:val="00866919"/>
    <w:rsid w:val="00867995"/>
    <w:rsid w:val="00870212"/>
    <w:rsid w:val="00870561"/>
    <w:rsid w:val="00870C2D"/>
    <w:rsid w:val="008715FA"/>
    <w:rsid w:val="00871872"/>
    <w:rsid w:val="00871C0C"/>
    <w:rsid w:val="008720A8"/>
    <w:rsid w:val="008722CD"/>
    <w:rsid w:val="0087289B"/>
    <w:rsid w:val="00872912"/>
    <w:rsid w:val="0087298F"/>
    <w:rsid w:val="00873E7F"/>
    <w:rsid w:val="00874916"/>
    <w:rsid w:val="00874B08"/>
    <w:rsid w:val="0087520B"/>
    <w:rsid w:val="0087529C"/>
    <w:rsid w:val="0087530E"/>
    <w:rsid w:val="0087563C"/>
    <w:rsid w:val="0087632A"/>
    <w:rsid w:val="00876387"/>
    <w:rsid w:val="008768F7"/>
    <w:rsid w:val="00877790"/>
    <w:rsid w:val="00880F28"/>
    <w:rsid w:val="008817D6"/>
    <w:rsid w:val="008817E1"/>
    <w:rsid w:val="00881E5C"/>
    <w:rsid w:val="00883A09"/>
    <w:rsid w:val="0088428E"/>
    <w:rsid w:val="00885AAB"/>
    <w:rsid w:val="00885D3A"/>
    <w:rsid w:val="0088662D"/>
    <w:rsid w:val="00887330"/>
    <w:rsid w:val="00887B5C"/>
    <w:rsid w:val="00887BC3"/>
    <w:rsid w:val="00890161"/>
    <w:rsid w:val="008908F3"/>
    <w:rsid w:val="00891121"/>
    <w:rsid w:val="00892241"/>
    <w:rsid w:val="00892823"/>
    <w:rsid w:val="00892B73"/>
    <w:rsid w:val="008938EC"/>
    <w:rsid w:val="00893BDD"/>
    <w:rsid w:val="00893FEC"/>
    <w:rsid w:val="00894503"/>
    <w:rsid w:val="0089566A"/>
    <w:rsid w:val="00896672"/>
    <w:rsid w:val="00896E1D"/>
    <w:rsid w:val="00896FD2"/>
    <w:rsid w:val="00897B9D"/>
    <w:rsid w:val="00897CC1"/>
    <w:rsid w:val="00897EA0"/>
    <w:rsid w:val="008A000A"/>
    <w:rsid w:val="008A04B2"/>
    <w:rsid w:val="008A095F"/>
    <w:rsid w:val="008A1DF7"/>
    <w:rsid w:val="008A2C04"/>
    <w:rsid w:val="008A3B04"/>
    <w:rsid w:val="008A3CB7"/>
    <w:rsid w:val="008A47B6"/>
    <w:rsid w:val="008A47F2"/>
    <w:rsid w:val="008A4C8E"/>
    <w:rsid w:val="008A6071"/>
    <w:rsid w:val="008A6F51"/>
    <w:rsid w:val="008A719F"/>
    <w:rsid w:val="008A73E2"/>
    <w:rsid w:val="008B043A"/>
    <w:rsid w:val="008B0514"/>
    <w:rsid w:val="008B0907"/>
    <w:rsid w:val="008B0BFE"/>
    <w:rsid w:val="008B1417"/>
    <w:rsid w:val="008B16A4"/>
    <w:rsid w:val="008B2313"/>
    <w:rsid w:val="008B2628"/>
    <w:rsid w:val="008B2C76"/>
    <w:rsid w:val="008B34C9"/>
    <w:rsid w:val="008B3694"/>
    <w:rsid w:val="008B46E1"/>
    <w:rsid w:val="008B487E"/>
    <w:rsid w:val="008B4916"/>
    <w:rsid w:val="008B4B73"/>
    <w:rsid w:val="008B4BEB"/>
    <w:rsid w:val="008B4C86"/>
    <w:rsid w:val="008B565A"/>
    <w:rsid w:val="008B5A1C"/>
    <w:rsid w:val="008B5D89"/>
    <w:rsid w:val="008B69C1"/>
    <w:rsid w:val="008B6F7F"/>
    <w:rsid w:val="008C051E"/>
    <w:rsid w:val="008C0D3C"/>
    <w:rsid w:val="008C1018"/>
    <w:rsid w:val="008C1258"/>
    <w:rsid w:val="008C1836"/>
    <w:rsid w:val="008C3411"/>
    <w:rsid w:val="008C37C7"/>
    <w:rsid w:val="008C398C"/>
    <w:rsid w:val="008C476A"/>
    <w:rsid w:val="008C477B"/>
    <w:rsid w:val="008C48CA"/>
    <w:rsid w:val="008C4989"/>
    <w:rsid w:val="008C4A26"/>
    <w:rsid w:val="008C5112"/>
    <w:rsid w:val="008C5134"/>
    <w:rsid w:val="008C5720"/>
    <w:rsid w:val="008C5743"/>
    <w:rsid w:val="008C5D5C"/>
    <w:rsid w:val="008C67B6"/>
    <w:rsid w:val="008C6B24"/>
    <w:rsid w:val="008C6C7F"/>
    <w:rsid w:val="008C78BF"/>
    <w:rsid w:val="008C7F3B"/>
    <w:rsid w:val="008D0CED"/>
    <w:rsid w:val="008D12AE"/>
    <w:rsid w:val="008D1CC9"/>
    <w:rsid w:val="008D2111"/>
    <w:rsid w:val="008D268F"/>
    <w:rsid w:val="008D2D25"/>
    <w:rsid w:val="008D32EF"/>
    <w:rsid w:val="008D398E"/>
    <w:rsid w:val="008D5966"/>
    <w:rsid w:val="008D60A5"/>
    <w:rsid w:val="008D6307"/>
    <w:rsid w:val="008D72A3"/>
    <w:rsid w:val="008D7684"/>
    <w:rsid w:val="008D777E"/>
    <w:rsid w:val="008E048F"/>
    <w:rsid w:val="008E16D6"/>
    <w:rsid w:val="008E1A3E"/>
    <w:rsid w:val="008E1DC5"/>
    <w:rsid w:val="008E1E6F"/>
    <w:rsid w:val="008E1F5E"/>
    <w:rsid w:val="008E270B"/>
    <w:rsid w:val="008E34A2"/>
    <w:rsid w:val="008E3C55"/>
    <w:rsid w:val="008E55DE"/>
    <w:rsid w:val="008E5DE4"/>
    <w:rsid w:val="008E6AA8"/>
    <w:rsid w:val="008E71C7"/>
    <w:rsid w:val="008E7379"/>
    <w:rsid w:val="008E79BD"/>
    <w:rsid w:val="008E7EBE"/>
    <w:rsid w:val="008E7EF2"/>
    <w:rsid w:val="008F05F2"/>
    <w:rsid w:val="008F0745"/>
    <w:rsid w:val="008F1441"/>
    <w:rsid w:val="008F16BD"/>
    <w:rsid w:val="008F1B24"/>
    <w:rsid w:val="008F1D2C"/>
    <w:rsid w:val="008F1E28"/>
    <w:rsid w:val="008F23BB"/>
    <w:rsid w:val="008F2A59"/>
    <w:rsid w:val="008F2E5C"/>
    <w:rsid w:val="008F5F66"/>
    <w:rsid w:val="008F715F"/>
    <w:rsid w:val="008F71AE"/>
    <w:rsid w:val="008F755F"/>
    <w:rsid w:val="008F7B1C"/>
    <w:rsid w:val="008F7E86"/>
    <w:rsid w:val="00900A27"/>
    <w:rsid w:val="00900CBB"/>
    <w:rsid w:val="009012B2"/>
    <w:rsid w:val="009014FA"/>
    <w:rsid w:val="00901CC3"/>
    <w:rsid w:val="00901EF1"/>
    <w:rsid w:val="009031FA"/>
    <w:rsid w:val="0090342F"/>
    <w:rsid w:val="009037C8"/>
    <w:rsid w:val="00904FF7"/>
    <w:rsid w:val="009055C3"/>
    <w:rsid w:val="009057C1"/>
    <w:rsid w:val="00905F5B"/>
    <w:rsid w:val="009068FA"/>
    <w:rsid w:val="00907321"/>
    <w:rsid w:val="0090778D"/>
    <w:rsid w:val="00907EF3"/>
    <w:rsid w:val="009102D1"/>
    <w:rsid w:val="009104E8"/>
    <w:rsid w:val="009107A9"/>
    <w:rsid w:val="00910DF2"/>
    <w:rsid w:val="00910E15"/>
    <w:rsid w:val="00910FFF"/>
    <w:rsid w:val="00911DDB"/>
    <w:rsid w:val="00913E2C"/>
    <w:rsid w:val="00915DDB"/>
    <w:rsid w:val="0091653A"/>
    <w:rsid w:val="00916A48"/>
    <w:rsid w:val="00917476"/>
    <w:rsid w:val="009174E5"/>
    <w:rsid w:val="00917B5D"/>
    <w:rsid w:val="009200F9"/>
    <w:rsid w:val="009211D3"/>
    <w:rsid w:val="009212C2"/>
    <w:rsid w:val="009218FF"/>
    <w:rsid w:val="0092253E"/>
    <w:rsid w:val="009226F7"/>
    <w:rsid w:val="00922A96"/>
    <w:rsid w:val="009230DD"/>
    <w:rsid w:val="009237A7"/>
    <w:rsid w:val="00924282"/>
    <w:rsid w:val="00924A9D"/>
    <w:rsid w:val="00924CFB"/>
    <w:rsid w:val="00925485"/>
    <w:rsid w:val="00925969"/>
    <w:rsid w:val="009263A9"/>
    <w:rsid w:val="00930931"/>
    <w:rsid w:val="00930A98"/>
    <w:rsid w:val="00930D45"/>
    <w:rsid w:val="009314F7"/>
    <w:rsid w:val="009324F4"/>
    <w:rsid w:val="009325C5"/>
    <w:rsid w:val="00932B58"/>
    <w:rsid w:val="00932FB6"/>
    <w:rsid w:val="009338EF"/>
    <w:rsid w:val="00934C47"/>
    <w:rsid w:val="00935243"/>
    <w:rsid w:val="00935AC8"/>
    <w:rsid w:val="0093762E"/>
    <w:rsid w:val="00937837"/>
    <w:rsid w:val="00937CAA"/>
    <w:rsid w:val="00937D11"/>
    <w:rsid w:val="00942128"/>
    <w:rsid w:val="00942470"/>
    <w:rsid w:val="009425E7"/>
    <w:rsid w:val="00942983"/>
    <w:rsid w:val="0094308B"/>
    <w:rsid w:val="00943809"/>
    <w:rsid w:val="00944A64"/>
    <w:rsid w:val="00944D48"/>
    <w:rsid w:val="009454C2"/>
    <w:rsid w:val="00945504"/>
    <w:rsid w:val="00945FDE"/>
    <w:rsid w:val="00946411"/>
    <w:rsid w:val="00947048"/>
    <w:rsid w:val="009473C7"/>
    <w:rsid w:val="00950B24"/>
    <w:rsid w:val="009517E4"/>
    <w:rsid w:val="00951AD5"/>
    <w:rsid w:val="00951AE4"/>
    <w:rsid w:val="009520E8"/>
    <w:rsid w:val="00954066"/>
    <w:rsid w:val="009546C9"/>
    <w:rsid w:val="00955039"/>
    <w:rsid w:val="00955587"/>
    <w:rsid w:val="009560AC"/>
    <w:rsid w:val="00956B0F"/>
    <w:rsid w:val="009570F9"/>
    <w:rsid w:val="009572C4"/>
    <w:rsid w:val="0095738A"/>
    <w:rsid w:val="009576B4"/>
    <w:rsid w:val="00957C83"/>
    <w:rsid w:val="009605DB"/>
    <w:rsid w:val="009610A9"/>
    <w:rsid w:val="00961522"/>
    <w:rsid w:val="00961611"/>
    <w:rsid w:val="00961DB6"/>
    <w:rsid w:val="0096251C"/>
    <w:rsid w:val="00962826"/>
    <w:rsid w:val="00962982"/>
    <w:rsid w:val="009629B8"/>
    <w:rsid w:val="0096329F"/>
    <w:rsid w:val="00964A6F"/>
    <w:rsid w:val="0096577A"/>
    <w:rsid w:val="00965B05"/>
    <w:rsid w:val="00966B3C"/>
    <w:rsid w:val="00966F9F"/>
    <w:rsid w:val="00967522"/>
    <w:rsid w:val="009677F8"/>
    <w:rsid w:val="009702D6"/>
    <w:rsid w:val="00970301"/>
    <w:rsid w:val="009704EF"/>
    <w:rsid w:val="009709DF"/>
    <w:rsid w:val="0097256E"/>
    <w:rsid w:val="00972E1C"/>
    <w:rsid w:val="009732C7"/>
    <w:rsid w:val="00973B71"/>
    <w:rsid w:val="00973BFC"/>
    <w:rsid w:val="00974282"/>
    <w:rsid w:val="00974909"/>
    <w:rsid w:val="00975714"/>
    <w:rsid w:val="009758CF"/>
    <w:rsid w:val="009758DA"/>
    <w:rsid w:val="00976121"/>
    <w:rsid w:val="0097631E"/>
    <w:rsid w:val="0097646D"/>
    <w:rsid w:val="009767A9"/>
    <w:rsid w:val="00977013"/>
    <w:rsid w:val="00977E0E"/>
    <w:rsid w:val="00980782"/>
    <w:rsid w:val="0098123C"/>
    <w:rsid w:val="00981624"/>
    <w:rsid w:val="00981A44"/>
    <w:rsid w:val="009825F7"/>
    <w:rsid w:val="0098460E"/>
    <w:rsid w:val="00985683"/>
    <w:rsid w:val="009856C8"/>
    <w:rsid w:val="009857DE"/>
    <w:rsid w:val="009858EB"/>
    <w:rsid w:val="0098594A"/>
    <w:rsid w:val="00986032"/>
    <w:rsid w:val="009864CC"/>
    <w:rsid w:val="009871CB"/>
    <w:rsid w:val="009874B2"/>
    <w:rsid w:val="00987A48"/>
    <w:rsid w:val="009903C2"/>
    <w:rsid w:val="00990791"/>
    <w:rsid w:val="00991852"/>
    <w:rsid w:val="00991B70"/>
    <w:rsid w:val="00992AEB"/>
    <w:rsid w:val="00993530"/>
    <w:rsid w:val="0099374D"/>
    <w:rsid w:val="00994E69"/>
    <w:rsid w:val="00995359"/>
    <w:rsid w:val="009955A4"/>
    <w:rsid w:val="00995CA1"/>
    <w:rsid w:val="00996D5C"/>
    <w:rsid w:val="0099706E"/>
    <w:rsid w:val="009976BA"/>
    <w:rsid w:val="009976F2"/>
    <w:rsid w:val="009976F8"/>
    <w:rsid w:val="009A0265"/>
    <w:rsid w:val="009A0D24"/>
    <w:rsid w:val="009A1D1E"/>
    <w:rsid w:val="009A21DE"/>
    <w:rsid w:val="009A28D7"/>
    <w:rsid w:val="009A2B03"/>
    <w:rsid w:val="009A407A"/>
    <w:rsid w:val="009A4CFB"/>
    <w:rsid w:val="009A52D5"/>
    <w:rsid w:val="009A72E7"/>
    <w:rsid w:val="009A73B7"/>
    <w:rsid w:val="009A7DBB"/>
    <w:rsid w:val="009B02B7"/>
    <w:rsid w:val="009B02C8"/>
    <w:rsid w:val="009B1F70"/>
    <w:rsid w:val="009B22D4"/>
    <w:rsid w:val="009B2618"/>
    <w:rsid w:val="009B274A"/>
    <w:rsid w:val="009B2B83"/>
    <w:rsid w:val="009B2E71"/>
    <w:rsid w:val="009B30CF"/>
    <w:rsid w:val="009B39AC"/>
    <w:rsid w:val="009B420A"/>
    <w:rsid w:val="009B5AB9"/>
    <w:rsid w:val="009B5F37"/>
    <w:rsid w:val="009B64F9"/>
    <w:rsid w:val="009B6678"/>
    <w:rsid w:val="009B68D4"/>
    <w:rsid w:val="009B7FF0"/>
    <w:rsid w:val="009C1929"/>
    <w:rsid w:val="009C2786"/>
    <w:rsid w:val="009C33F7"/>
    <w:rsid w:val="009C3E5C"/>
    <w:rsid w:val="009C404D"/>
    <w:rsid w:val="009C4AB8"/>
    <w:rsid w:val="009C5599"/>
    <w:rsid w:val="009C5F50"/>
    <w:rsid w:val="009C6373"/>
    <w:rsid w:val="009C66A7"/>
    <w:rsid w:val="009C71A7"/>
    <w:rsid w:val="009C7861"/>
    <w:rsid w:val="009C7FA7"/>
    <w:rsid w:val="009D0FBC"/>
    <w:rsid w:val="009D12EC"/>
    <w:rsid w:val="009D2938"/>
    <w:rsid w:val="009D365D"/>
    <w:rsid w:val="009D3848"/>
    <w:rsid w:val="009D4575"/>
    <w:rsid w:val="009D542E"/>
    <w:rsid w:val="009D67F6"/>
    <w:rsid w:val="009D6FD3"/>
    <w:rsid w:val="009D6FEA"/>
    <w:rsid w:val="009D7E31"/>
    <w:rsid w:val="009E0E7F"/>
    <w:rsid w:val="009E1B79"/>
    <w:rsid w:val="009E2148"/>
    <w:rsid w:val="009E3494"/>
    <w:rsid w:val="009E366E"/>
    <w:rsid w:val="009E3729"/>
    <w:rsid w:val="009E3755"/>
    <w:rsid w:val="009E45E9"/>
    <w:rsid w:val="009E46B3"/>
    <w:rsid w:val="009E5408"/>
    <w:rsid w:val="009E5E9C"/>
    <w:rsid w:val="009E6529"/>
    <w:rsid w:val="009E6900"/>
    <w:rsid w:val="009E6AF4"/>
    <w:rsid w:val="009E76B0"/>
    <w:rsid w:val="009E7C4E"/>
    <w:rsid w:val="009F00A2"/>
    <w:rsid w:val="009F063F"/>
    <w:rsid w:val="009F0AA9"/>
    <w:rsid w:val="009F13AF"/>
    <w:rsid w:val="009F1FE0"/>
    <w:rsid w:val="009F2471"/>
    <w:rsid w:val="009F3383"/>
    <w:rsid w:val="009F35A0"/>
    <w:rsid w:val="009F3F0D"/>
    <w:rsid w:val="009F41B3"/>
    <w:rsid w:val="009F4BE5"/>
    <w:rsid w:val="009F5188"/>
    <w:rsid w:val="009F5435"/>
    <w:rsid w:val="009F55C1"/>
    <w:rsid w:val="009F5972"/>
    <w:rsid w:val="009F59B5"/>
    <w:rsid w:val="009F5AD8"/>
    <w:rsid w:val="009F6BC0"/>
    <w:rsid w:val="009F7153"/>
    <w:rsid w:val="009F7298"/>
    <w:rsid w:val="009F7D79"/>
    <w:rsid w:val="00A0001A"/>
    <w:rsid w:val="00A005D0"/>
    <w:rsid w:val="00A00677"/>
    <w:rsid w:val="00A007AE"/>
    <w:rsid w:val="00A014FF"/>
    <w:rsid w:val="00A01A04"/>
    <w:rsid w:val="00A01CAE"/>
    <w:rsid w:val="00A02779"/>
    <w:rsid w:val="00A037F0"/>
    <w:rsid w:val="00A03AEA"/>
    <w:rsid w:val="00A041D4"/>
    <w:rsid w:val="00A04C07"/>
    <w:rsid w:val="00A05149"/>
    <w:rsid w:val="00A056DB"/>
    <w:rsid w:val="00A05A89"/>
    <w:rsid w:val="00A05E9F"/>
    <w:rsid w:val="00A067A7"/>
    <w:rsid w:val="00A06AE2"/>
    <w:rsid w:val="00A07D4D"/>
    <w:rsid w:val="00A103B1"/>
    <w:rsid w:val="00A10528"/>
    <w:rsid w:val="00A105D7"/>
    <w:rsid w:val="00A11939"/>
    <w:rsid w:val="00A11D7E"/>
    <w:rsid w:val="00A12156"/>
    <w:rsid w:val="00A1257B"/>
    <w:rsid w:val="00A134AD"/>
    <w:rsid w:val="00A135D0"/>
    <w:rsid w:val="00A13C57"/>
    <w:rsid w:val="00A13CC4"/>
    <w:rsid w:val="00A13D9A"/>
    <w:rsid w:val="00A13ECB"/>
    <w:rsid w:val="00A14998"/>
    <w:rsid w:val="00A14C16"/>
    <w:rsid w:val="00A14F4A"/>
    <w:rsid w:val="00A1571C"/>
    <w:rsid w:val="00A159D7"/>
    <w:rsid w:val="00A160F9"/>
    <w:rsid w:val="00A1617A"/>
    <w:rsid w:val="00A1628A"/>
    <w:rsid w:val="00A16297"/>
    <w:rsid w:val="00A16873"/>
    <w:rsid w:val="00A169BC"/>
    <w:rsid w:val="00A16E88"/>
    <w:rsid w:val="00A174F6"/>
    <w:rsid w:val="00A17B10"/>
    <w:rsid w:val="00A17BD9"/>
    <w:rsid w:val="00A20867"/>
    <w:rsid w:val="00A21C2F"/>
    <w:rsid w:val="00A21E93"/>
    <w:rsid w:val="00A22BDA"/>
    <w:rsid w:val="00A22DF6"/>
    <w:rsid w:val="00A22E3D"/>
    <w:rsid w:val="00A230B4"/>
    <w:rsid w:val="00A23724"/>
    <w:rsid w:val="00A240E2"/>
    <w:rsid w:val="00A24329"/>
    <w:rsid w:val="00A244EB"/>
    <w:rsid w:val="00A24972"/>
    <w:rsid w:val="00A25401"/>
    <w:rsid w:val="00A25584"/>
    <w:rsid w:val="00A255FE"/>
    <w:rsid w:val="00A2588A"/>
    <w:rsid w:val="00A25980"/>
    <w:rsid w:val="00A26189"/>
    <w:rsid w:val="00A26493"/>
    <w:rsid w:val="00A26D14"/>
    <w:rsid w:val="00A27580"/>
    <w:rsid w:val="00A2787B"/>
    <w:rsid w:val="00A308AB"/>
    <w:rsid w:val="00A31F46"/>
    <w:rsid w:val="00A32357"/>
    <w:rsid w:val="00A32379"/>
    <w:rsid w:val="00A32D6E"/>
    <w:rsid w:val="00A33D70"/>
    <w:rsid w:val="00A3430F"/>
    <w:rsid w:val="00A35192"/>
    <w:rsid w:val="00A3650A"/>
    <w:rsid w:val="00A36861"/>
    <w:rsid w:val="00A36894"/>
    <w:rsid w:val="00A36ED1"/>
    <w:rsid w:val="00A37333"/>
    <w:rsid w:val="00A37973"/>
    <w:rsid w:val="00A40CAE"/>
    <w:rsid w:val="00A41419"/>
    <w:rsid w:val="00A41FD8"/>
    <w:rsid w:val="00A42E42"/>
    <w:rsid w:val="00A432A5"/>
    <w:rsid w:val="00A43312"/>
    <w:rsid w:val="00A44038"/>
    <w:rsid w:val="00A4409E"/>
    <w:rsid w:val="00A44A11"/>
    <w:rsid w:val="00A44AAB"/>
    <w:rsid w:val="00A44E00"/>
    <w:rsid w:val="00A45004"/>
    <w:rsid w:val="00A455C9"/>
    <w:rsid w:val="00A45858"/>
    <w:rsid w:val="00A45967"/>
    <w:rsid w:val="00A45B68"/>
    <w:rsid w:val="00A45FA1"/>
    <w:rsid w:val="00A509B9"/>
    <w:rsid w:val="00A50AFF"/>
    <w:rsid w:val="00A50C75"/>
    <w:rsid w:val="00A5149F"/>
    <w:rsid w:val="00A517BF"/>
    <w:rsid w:val="00A51CDE"/>
    <w:rsid w:val="00A5217E"/>
    <w:rsid w:val="00A52268"/>
    <w:rsid w:val="00A527D4"/>
    <w:rsid w:val="00A52A5F"/>
    <w:rsid w:val="00A52DCC"/>
    <w:rsid w:val="00A530FC"/>
    <w:rsid w:val="00A53424"/>
    <w:rsid w:val="00A53FC6"/>
    <w:rsid w:val="00A54ADB"/>
    <w:rsid w:val="00A5552A"/>
    <w:rsid w:val="00A560BE"/>
    <w:rsid w:val="00A56986"/>
    <w:rsid w:val="00A56AAE"/>
    <w:rsid w:val="00A57D49"/>
    <w:rsid w:val="00A606C4"/>
    <w:rsid w:val="00A61F29"/>
    <w:rsid w:val="00A6251E"/>
    <w:rsid w:val="00A62A51"/>
    <w:rsid w:val="00A63404"/>
    <w:rsid w:val="00A63469"/>
    <w:rsid w:val="00A6386C"/>
    <w:rsid w:val="00A63CAD"/>
    <w:rsid w:val="00A64256"/>
    <w:rsid w:val="00A65A87"/>
    <w:rsid w:val="00A65A9C"/>
    <w:rsid w:val="00A6641D"/>
    <w:rsid w:val="00A66891"/>
    <w:rsid w:val="00A66B7F"/>
    <w:rsid w:val="00A66BFA"/>
    <w:rsid w:val="00A66F4B"/>
    <w:rsid w:val="00A676C4"/>
    <w:rsid w:val="00A70011"/>
    <w:rsid w:val="00A702FE"/>
    <w:rsid w:val="00A704DC"/>
    <w:rsid w:val="00A71AA4"/>
    <w:rsid w:val="00A7232E"/>
    <w:rsid w:val="00A726D9"/>
    <w:rsid w:val="00A72942"/>
    <w:rsid w:val="00A7306E"/>
    <w:rsid w:val="00A748D3"/>
    <w:rsid w:val="00A75B63"/>
    <w:rsid w:val="00A75C07"/>
    <w:rsid w:val="00A75FFC"/>
    <w:rsid w:val="00A761FB"/>
    <w:rsid w:val="00A76394"/>
    <w:rsid w:val="00A76727"/>
    <w:rsid w:val="00A76B9B"/>
    <w:rsid w:val="00A76F03"/>
    <w:rsid w:val="00A77A45"/>
    <w:rsid w:val="00A80041"/>
    <w:rsid w:val="00A8036E"/>
    <w:rsid w:val="00A82A8F"/>
    <w:rsid w:val="00A83681"/>
    <w:rsid w:val="00A8392F"/>
    <w:rsid w:val="00A84A9A"/>
    <w:rsid w:val="00A85374"/>
    <w:rsid w:val="00A855A4"/>
    <w:rsid w:val="00A86944"/>
    <w:rsid w:val="00A8798C"/>
    <w:rsid w:val="00A9085F"/>
    <w:rsid w:val="00A90AEB"/>
    <w:rsid w:val="00A90FAA"/>
    <w:rsid w:val="00A92436"/>
    <w:rsid w:val="00A93220"/>
    <w:rsid w:val="00A94164"/>
    <w:rsid w:val="00A94696"/>
    <w:rsid w:val="00A946FF"/>
    <w:rsid w:val="00A94D09"/>
    <w:rsid w:val="00A96A38"/>
    <w:rsid w:val="00A974F7"/>
    <w:rsid w:val="00AA0A53"/>
    <w:rsid w:val="00AA145B"/>
    <w:rsid w:val="00AA14E8"/>
    <w:rsid w:val="00AA1558"/>
    <w:rsid w:val="00AA17D7"/>
    <w:rsid w:val="00AA18F7"/>
    <w:rsid w:val="00AA2D09"/>
    <w:rsid w:val="00AA34DD"/>
    <w:rsid w:val="00AA3A6E"/>
    <w:rsid w:val="00AA4639"/>
    <w:rsid w:val="00AA4B14"/>
    <w:rsid w:val="00AA5527"/>
    <w:rsid w:val="00AA6283"/>
    <w:rsid w:val="00AA7002"/>
    <w:rsid w:val="00AA7150"/>
    <w:rsid w:val="00AB0B19"/>
    <w:rsid w:val="00AB24CB"/>
    <w:rsid w:val="00AB2682"/>
    <w:rsid w:val="00AB3209"/>
    <w:rsid w:val="00AB3B24"/>
    <w:rsid w:val="00AB4339"/>
    <w:rsid w:val="00AB4444"/>
    <w:rsid w:val="00AB628B"/>
    <w:rsid w:val="00AB68F8"/>
    <w:rsid w:val="00AB6CBD"/>
    <w:rsid w:val="00AB6DA3"/>
    <w:rsid w:val="00AB6DAD"/>
    <w:rsid w:val="00AB7298"/>
    <w:rsid w:val="00AB760F"/>
    <w:rsid w:val="00AB7610"/>
    <w:rsid w:val="00AB798A"/>
    <w:rsid w:val="00AC0305"/>
    <w:rsid w:val="00AC104B"/>
    <w:rsid w:val="00AC1340"/>
    <w:rsid w:val="00AC1A2B"/>
    <w:rsid w:val="00AC1BFA"/>
    <w:rsid w:val="00AC2385"/>
    <w:rsid w:val="00AC2D7E"/>
    <w:rsid w:val="00AC3C8C"/>
    <w:rsid w:val="00AC3DEB"/>
    <w:rsid w:val="00AC3FBA"/>
    <w:rsid w:val="00AC4B49"/>
    <w:rsid w:val="00AC4BCC"/>
    <w:rsid w:val="00AC4C70"/>
    <w:rsid w:val="00AC5F73"/>
    <w:rsid w:val="00AC625F"/>
    <w:rsid w:val="00AC6A87"/>
    <w:rsid w:val="00AC712B"/>
    <w:rsid w:val="00AC714E"/>
    <w:rsid w:val="00AC7191"/>
    <w:rsid w:val="00AC738F"/>
    <w:rsid w:val="00AC7627"/>
    <w:rsid w:val="00AD00A3"/>
    <w:rsid w:val="00AD0DCB"/>
    <w:rsid w:val="00AD0ECC"/>
    <w:rsid w:val="00AD10DD"/>
    <w:rsid w:val="00AD1223"/>
    <w:rsid w:val="00AD1A9C"/>
    <w:rsid w:val="00AD4561"/>
    <w:rsid w:val="00AD4E55"/>
    <w:rsid w:val="00AD4EC0"/>
    <w:rsid w:val="00AD5F7B"/>
    <w:rsid w:val="00AD64C5"/>
    <w:rsid w:val="00AD6E45"/>
    <w:rsid w:val="00AD7518"/>
    <w:rsid w:val="00AD7F3D"/>
    <w:rsid w:val="00AE006E"/>
    <w:rsid w:val="00AE08B7"/>
    <w:rsid w:val="00AE0F14"/>
    <w:rsid w:val="00AE1EA8"/>
    <w:rsid w:val="00AE22A6"/>
    <w:rsid w:val="00AE2CED"/>
    <w:rsid w:val="00AE2D1E"/>
    <w:rsid w:val="00AE3DE7"/>
    <w:rsid w:val="00AE5DC3"/>
    <w:rsid w:val="00AE5E83"/>
    <w:rsid w:val="00AE6AC2"/>
    <w:rsid w:val="00AE6E10"/>
    <w:rsid w:val="00AE70D9"/>
    <w:rsid w:val="00AE72A5"/>
    <w:rsid w:val="00AE7D07"/>
    <w:rsid w:val="00AE7F32"/>
    <w:rsid w:val="00AF0D99"/>
    <w:rsid w:val="00AF1E79"/>
    <w:rsid w:val="00AF1E7D"/>
    <w:rsid w:val="00AF24E7"/>
    <w:rsid w:val="00AF2D0D"/>
    <w:rsid w:val="00AF3130"/>
    <w:rsid w:val="00AF426E"/>
    <w:rsid w:val="00AF4D4C"/>
    <w:rsid w:val="00AF4FF4"/>
    <w:rsid w:val="00AF664B"/>
    <w:rsid w:val="00AF6AB2"/>
    <w:rsid w:val="00AF6B0F"/>
    <w:rsid w:val="00AF76E2"/>
    <w:rsid w:val="00AF7DC7"/>
    <w:rsid w:val="00B00797"/>
    <w:rsid w:val="00B00BEE"/>
    <w:rsid w:val="00B00DB5"/>
    <w:rsid w:val="00B02B3C"/>
    <w:rsid w:val="00B03803"/>
    <w:rsid w:val="00B04141"/>
    <w:rsid w:val="00B04655"/>
    <w:rsid w:val="00B04998"/>
    <w:rsid w:val="00B054F4"/>
    <w:rsid w:val="00B05BDE"/>
    <w:rsid w:val="00B07BDA"/>
    <w:rsid w:val="00B07D76"/>
    <w:rsid w:val="00B07E5C"/>
    <w:rsid w:val="00B10688"/>
    <w:rsid w:val="00B10E3A"/>
    <w:rsid w:val="00B11588"/>
    <w:rsid w:val="00B11778"/>
    <w:rsid w:val="00B11AA2"/>
    <w:rsid w:val="00B12A31"/>
    <w:rsid w:val="00B12D7E"/>
    <w:rsid w:val="00B13244"/>
    <w:rsid w:val="00B133D2"/>
    <w:rsid w:val="00B13528"/>
    <w:rsid w:val="00B1468F"/>
    <w:rsid w:val="00B146B8"/>
    <w:rsid w:val="00B14A0B"/>
    <w:rsid w:val="00B1602B"/>
    <w:rsid w:val="00B16D26"/>
    <w:rsid w:val="00B17362"/>
    <w:rsid w:val="00B17DC0"/>
    <w:rsid w:val="00B17F20"/>
    <w:rsid w:val="00B208D8"/>
    <w:rsid w:val="00B21E24"/>
    <w:rsid w:val="00B21EAB"/>
    <w:rsid w:val="00B232FC"/>
    <w:rsid w:val="00B24D18"/>
    <w:rsid w:val="00B25D3C"/>
    <w:rsid w:val="00B26013"/>
    <w:rsid w:val="00B26267"/>
    <w:rsid w:val="00B263D8"/>
    <w:rsid w:val="00B266EC"/>
    <w:rsid w:val="00B26B3D"/>
    <w:rsid w:val="00B26BAF"/>
    <w:rsid w:val="00B27728"/>
    <w:rsid w:val="00B301AE"/>
    <w:rsid w:val="00B30209"/>
    <w:rsid w:val="00B3030C"/>
    <w:rsid w:val="00B3078A"/>
    <w:rsid w:val="00B312B1"/>
    <w:rsid w:val="00B31573"/>
    <w:rsid w:val="00B316BE"/>
    <w:rsid w:val="00B31B17"/>
    <w:rsid w:val="00B31D7C"/>
    <w:rsid w:val="00B31D8B"/>
    <w:rsid w:val="00B3416E"/>
    <w:rsid w:val="00B3421F"/>
    <w:rsid w:val="00B342FD"/>
    <w:rsid w:val="00B3437D"/>
    <w:rsid w:val="00B3484F"/>
    <w:rsid w:val="00B34E35"/>
    <w:rsid w:val="00B34E8C"/>
    <w:rsid w:val="00B34EE7"/>
    <w:rsid w:val="00B34F86"/>
    <w:rsid w:val="00B35016"/>
    <w:rsid w:val="00B35642"/>
    <w:rsid w:val="00B35CBD"/>
    <w:rsid w:val="00B37FB6"/>
    <w:rsid w:val="00B404E9"/>
    <w:rsid w:val="00B40863"/>
    <w:rsid w:val="00B41DC1"/>
    <w:rsid w:val="00B42C8B"/>
    <w:rsid w:val="00B4312F"/>
    <w:rsid w:val="00B43746"/>
    <w:rsid w:val="00B43EFC"/>
    <w:rsid w:val="00B44506"/>
    <w:rsid w:val="00B44D89"/>
    <w:rsid w:val="00B4505F"/>
    <w:rsid w:val="00B45322"/>
    <w:rsid w:val="00B4681D"/>
    <w:rsid w:val="00B46AB0"/>
    <w:rsid w:val="00B475A4"/>
    <w:rsid w:val="00B47D1B"/>
    <w:rsid w:val="00B5001C"/>
    <w:rsid w:val="00B500B9"/>
    <w:rsid w:val="00B502DE"/>
    <w:rsid w:val="00B51166"/>
    <w:rsid w:val="00B512E9"/>
    <w:rsid w:val="00B5175E"/>
    <w:rsid w:val="00B530B4"/>
    <w:rsid w:val="00B535CA"/>
    <w:rsid w:val="00B53C5B"/>
    <w:rsid w:val="00B53CA4"/>
    <w:rsid w:val="00B53F5F"/>
    <w:rsid w:val="00B5490E"/>
    <w:rsid w:val="00B54D29"/>
    <w:rsid w:val="00B56860"/>
    <w:rsid w:val="00B574D2"/>
    <w:rsid w:val="00B57DFF"/>
    <w:rsid w:val="00B57FB4"/>
    <w:rsid w:val="00B6029D"/>
    <w:rsid w:val="00B60E99"/>
    <w:rsid w:val="00B60F79"/>
    <w:rsid w:val="00B61943"/>
    <w:rsid w:val="00B61CFA"/>
    <w:rsid w:val="00B61EF2"/>
    <w:rsid w:val="00B61F8C"/>
    <w:rsid w:val="00B62228"/>
    <w:rsid w:val="00B625E8"/>
    <w:rsid w:val="00B62F8C"/>
    <w:rsid w:val="00B6331C"/>
    <w:rsid w:val="00B63E09"/>
    <w:rsid w:val="00B63E1F"/>
    <w:rsid w:val="00B647D5"/>
    <w:rsid w:val="00B64973"/>
    <w:rsid w:val="00B64B9E"/>
    <w:rsid w:val="00B65933"/>
    <w:rsid w:val="00B65DC5"/>
    <w:rsid w:val="00B664D8"/>
    <w:rsid w:val="00B66603"/>
    <w:rsid w:val="00B6712B"/>
    <w:rsid w:val="00B6750E"/>
    <w:rsid w:val="00B67F1B"/>
    <w:rsid w:val="00B70013"/>
    <w:rsid w:val="00B70297"/>
    <w:rsid w:val="00B70EF0"/>
    <w:rsid w:val="00B71319"/>
    <w:rsid w:val="00B71AF1"/>
    <w:rsid w:val="00B721BE"/>
    <w:rsid w:val="00B725B5"/>
    <w:rsid w:val="00B72626"/>
    <w:rsid w:val="00B72880"/>
    <w:rsid w:val="00B72B54"/>
    <w:rsid w:val="00B73456"/>
    <w:rsid w:val="00B75222"/>
    <w:rsid w:val="00B75884"/>
    <w:rsid w:val="00B75F81"/>
    <w:rsid w:val="00B76475"/>
    <w:rsid w:val="00B77043"/>
    <w:rsid w:val="00B77BB0"/>
    <w:rsid w:val="00B77E1D"/>
    <w:rsid w:val="00B81514"/>
    <w:rsid w:val="00B81A68"/>
    <w:rsid w:val="00B81CC3"/>
    <w:rsid w:val="00B82287"/>
    <w:rsid w:val="00B829FB"/>
    <w:rsid w:val="00B82D9B"/>
    <w:rsid w:val="00B83A2B"/>
    <w:rsid w:val="00B83D9A"/>
    <w:rsid w:val="00B85D54"/>
    <w:rsid w:val="00B864BD"/>
    <w:rsid w:val="00B8672C"/>
    <w:rsid w:val="00B86C2B"/>
    <w:rsid w:val="00B871A7"/>
    <w:rsid w:val="00B878E2"/>
    <w:rsid w:val="00B90BBA"/>
    <w:rsid w:val="00B91F49"/>
    <w:rsid w:val="00B9236D"/>
    <w:rsid w:val="00B93425"/>
    <w:rsid w:val="00B9372B"/>
    <w:rsid w:val="00B9468D"/>
    <w:rsid w:val="00B94C4C"/>
    <w:rsid w:val="00B94D27"/>
    <w:rsid w:val="00B95612"/>
    <w:rsid w:val="00B96B5D"/>
    <w:rsid w:val="00B97BBA"/>
    <w:rsid w:val="00BA047D"/>
    <w:rsid w:val="00BA04F2"/>
    <w:rsid w:val="00BA0A6D"/>
    <w:rsid w:val="00BA0F52"/>
    <w:rsid w:val="00BA1260"/>
    <w:rsid w:val="00BA162C"/>
    <w:rsid w:val="00BA18BD"/>
    <w:rsid w:val="00BA191B"/>
    <w:rsid w:val="00BA1AE5"/>
    <w:rsid w:val="00BA24CD"/>
    <w:rsid w:val="00BA3084"/>
    <w:rsid w:val="00BA30D8"/>
    <w:rsid w:val="00BA347D"/>
    <w:rsid w:val="00BA3825"/>
    <w:rsid w:val="00BA3DEA"/>
    <w:rsid w:val="00BA42B8"/>
    <w:rsid w:val="00BA445D"/>
    <w:rsid w:val="00BA454F"/>
    <w:rsid w:val="00BA4D75"/>
    <w:rsid w:val="00BA5AF2"/>
    <w:rsid w:val="00BA66D1"/>
    <w:rsid w:val="00BA67F0"/>
    <w:rsid w:val="00BA6F42"/>
    <w:rsid w:val="00BA7F5E"/>
    <w:rsid w:val="00BB00A8"/>
    <w:rsid w:val="00BB0F50"/>
    <w:rsid w:val="00BB16EC"/>
    <w:rsid w:val="00BB3227"/>
    <w:rsid w:val="00BB3399"/>
    <w:rsid w:val="00BB3D80"/>
    <w:rsid w:val="00BB4117"/>
    <w:rsid w:val="00BB44F5"/>
    <w:rsid w:val="00BB53FC"/>
    <w:rsid w:val="00BB60D1"/>
    <w:rsid w:val="00BB69E0"/>
    <w:rsid w:val="00BB712D"/>
    <w:rsid w:val="00BB73CE"/>
    <w:rsid w:val="00BB7746"/>
    <w:rsid w:val="00BC05DA"/>
    <w:rsid w:val="00BC0745"/>
    <w:rsid w:val="00BC074F"/>
    <w:rsid w:val="00BC0AF3"/>
    <w:rsid w:val="00BC0EE4"/>
    <w:rsid w:val="00BC136B"/>
    <w:rsid w:val="00BC1FAB"/>
    <w:rsid w:val="00BC22F2"/>
    <w:rsid w:val="00BC286B"/>
    <w:rsid w:val="00BC3037"/>
    <w:rsid w:val="00BC3328"/>
    <w:rsid w:val="00BC39C9"/>
    <w:rsid w:val="00BC4439"/>
    <w:rsid w:val="00BC5786"/>
    <w:rsid w:val="00BC6103"/>
    <w:rsid w:val="00BC6418"/>
    <w:rsid w:val="00BC6550"/>
    <w:rsid w:val="00BC67FD"/>
    <w:rsid w:val="00BC70AE"/>
    <w:rsid w:val="00BC73AC"/>
    <w:rsid w:val="00BC7D8A"/>
    <w:rsid w:val="00BD011A"/>
    <w:rsid w:val="00BD1735"/>
    <w:rsid w:val="00BD1834"/>
    <w:rsid w:val="00BD315B"/>
    <w:rsid w:val="00BD3DAE"/>
    <w:rsid w:val="00BD403B"/>
    <w:rsid w:val="00BD46C3"/>
    <w:rsid w:val="00BD54BA"/>
    <w:rsid w:val="00BD5BF3"/>
    <w:rsid w:val="00BD5FBF"/>
    <w:rsid w:val="00BD6EAF"/>
    <w:rsid w:val="00BD6F64"/>
    <w:rsid w:val="00BD7563"/>
    <w:rsid w:val="00BE080B"/>
    <w:rsid w:val="00BE11D3"/>
    <w:rsid w:val="00BE2EB8"/>
    <w:rsid w:val="00BE334B"/>
    <w:rsid w:val="00BE36BD"/>
    <w:rsid w:val="00BE3AE1"/>
    <w:rsid w:val="00BE3B46"/>
    <w:rsid w:val="00BE3FAC"/>
    <w:rsid w:val="00BE50B0"/>
    <w:rsid w:val="00BE5827"/>
    <w:rsid w:val="00BE5B0E"/>
    <w:rsid w:val="00BE631E"/>
    <w:rsid w:val="00BE6CFB"/>
    <w:rsid w:val="00BE74B5"/>
    <w:rsid w:val="00BE7E1A"/>
    <w:rsid w:val="00BE7F61"/>
    <w:rsid w:val="00BF0CCA"/>
    <w:rsid w:val="00BF1938"/>
    <w:rsid w:val="00BF1DF6"/>
    <w:rsid w:val="00BF2350"/>
    <w:rsid w:val="00BF2492"/>
    <w:rsid w:val="00BF32A4"/>
    <w:rsid w:val="00BF3454"/>
    <w:rsid w:val="00BF50F2"/>
    <w:rsid w:val="00BF51F1"/>
    <w:rsid w:val="00BF5282"/>
    <w:rsid w:val="00BF56D4"/>
    <w:rsid w:val="00BF5877"/>
    <w:rsid w:val="00BF595A"/>
    <w:rsid w:val="00BF5C38"/>
    <w:rsid w:val="00BF5C5A"/>
    <w:rsid w:val="00BF5CE6"/>
    <w:rsid w:val="00BF5FFE"/>
    <w:rsid w:val="00BF73E2"/>
    <w:rsid w:val="00BF7C4C"/>
    <w:rsid w:val="00C000F9"/>
    <w:rsid w:val="00C0019B"/>
    <w:rsid w:val="00C00C60"/>
    <w:rsid w:val="00C013F8"/>
    <w:rsid w:val="00C01607"/>
    <w:rsid w:val="00C01C8F"/>
    <w:rsid w:val="00C01DE4"/>
    <w:rsid w:val="00C01EF3"/>
    <w:rsid w:val="00C0220A"/>
    <w:rsid w:val="00C02305"/>
    <w:rsid w:val="00C02E9C"/>
    <w:rsid w:val="00C0349C"/>
    <w:rsid w:val="00C0352A"/>
    <w:rsid w:val="00C0405B"/>
    <w:rsid w:val="00C043FF"/>
    <w:rsid w:val="00C0552D"/>
    <w:rsid w:val="00C05E6E"/>
    <w:rsid w:val="00C05E83"/>
    <w:rsid w:val="00C06067"/>
    <w:rsid w:val="00C06133"/>
    <w:rsid w:val="00C068A5"/>
    <w:rsid w:val="00C06D3E"/>
    <w:rsid w:val="00C075FE"/>
    <w:rsid w:val="00C07B41"/>
    <w:rsid w:val="00C07B7E"/>
    <w:rsid w:val="00C07FC9"/>
    <w:rsid w:val="00C10A17"/>
    <w:rsid w:val="00C10BBB"/>
    <w:rsid w:val="00C11B09"/>
    <w:rsid w:val="00C1308A"/>
    <w:rsid w:val="00C1592B"/>
    <w:rsid w:val="00C16575"/>
    <w:rsid w:val="00C16B9C"/>
    <w:rsid w:val="00C16FFD"/>
    <w:rsid w:val="00C170C2"/>
    <w:rsid w:val="00C17482"/>
    <w:rsid w:val="00C17DC3"/>
    <w:rsid w:val="00C21534"/>
    <w:rsid w:val="00C21AE5"/>
    <w:rsid w:val="00C21D86"/>
    <w:rsid w:val="00C23236"/>
    <w:rsid w:val="00C238CD"/>
    <w:rsid w:val="00C246DF"/>
    <w:rsid w:val="00C24E14"/>
    <w:rsid w:val="00C24E44"/>
    <w:rsid w:val="00C274AD"/>
    <w:rsid w:val="00C27C2A"/>
    <w:rsid w:val="00C30134"/>
    <w:rsid w:val="00C3017F"/>
    <w:rsid w:val="00C3039C"/>
    <w:rsid w:val="00C3042D"/>
    <w:rsid w:val="00C30896"/>
    <w:rsid w:val="00C31180"/>
    <w:rsid w:val="00C318CB"/>
    <w:rsid w:val="00C31D06"/>
    <w:rsid w:val="00C32112"/>
    <w:rsid w:val="00C34268"/>
    <w:rsid w:val="00C34A01"/>
    <w:rsid w:val="00C34E78"/>
    <w:rsid w:val="00C3546A"/>
    <w:rsid w:val="00C35477"/>
    <w:rsid w:val="00C4036E"/>
    <w:rsid w:val="00C40C9E"/>
    <w:rsid w:val="00C40E34"/>
    <w:rsid w:val="00C42045"/>
    <w:rsid w:val="00C429D0"/>
    <w:rsid w:val="00C42F43"/>
    <w:rsid w:val="00C4330B"/>
    <w:rsid w:val="00C433DB"/>
    <w:rsid w:val="00C43671"/>
    <w:rsid w:val="00C45A1A"/>
    <w:rsid w:val="00C45CF7"/>
    <w:rsid w:val="00C4708C"/>
    <w:rsid w:val="00C50DE4"/>
    <w:rsid w:val="00C50E39"/>
    <w:rsid w:val="00C51B2B"/>
    <w:rsid w:val="00C52A2D"/>
    <w:rsid w:val="00C52AA0"/>
    <w:rsid w:val="00C53941"/>
    <w:rsid w:val="00C53C67"/>
    <w:rsid w:val="00C5452C"/>
    <w:rsid w:val="00C54F68"/>
    <w:rsid w:val="00C554E0"/>
    <w:rsid w:val="00C55BF6"/>
    <w:rsid w:val="00C55DCF"/>
    <w:rsid w:val="00C561BD"/>
    <w:rsid w:val="00C565FC"/>
    <w:rsid w:val="00C56F51"/>
    <w:rsid w:val="00C5705F"/>
    <w:rsid w:val="00C5783A"/>
    <w:rsid w:val="00C5784C"/>
    <w:rsid w:val="00C57CC8"/>
    <w:rsid w:val="00C60133"/>
    <w:rsid w:val="00C60D2A"/>
    <w:rsid w:val="00C62D1B"/>
    <w:rsid w:val="00C6509D"/>
    <w:rsid w:val="00C65BCB"/>
    <w:rsid w:val="00C65C3B"/>
    <w:rsid w:val="00C665CD"/>
    <w:rsid w:val="00C669D5"/>
    <w:rsid w:val="00C66F1A"/>
    <w:rsid w:val="00C67677"/>
    <w:rsid w:val="00C70247"/>
    <w:rsid w:val="00C708CC"/>
    <w:rsid w:val="00C709F7"/>
    <w:rsid w:val="00C71C52"/>
    <w:rsid w:val="00C72402"/>
    <w:rsid w:val="00C7341D"/>
    <w:rsid w:val="00C734C3"/>
    <w:rsid w:val="00C736C9"/>
    <w:rsid w:val="00C737B6"/>
    <w:rsid w:val="00C73B1E"/>
    <w:rsid w:val="00C73F20"/>
    <w:rsid w:val="00C744D2"/>
    <w:rsid w:val="00C74555"/>
    <w:rsid w:val="00C7600E"/>
    <w:rsid w:val="00C764A0"/>
    <w:rsid w:val="00C77527"/>
    <w:rsid w:val="00C776CF"/>
    <w:rsid w:val="00C77BD2"/>
    <w:rsid w:val="00C77DD5"/>
    <w:rsid w:val="00C77EED"/>
    <w:rsid w:val="00C8047D"/>
    <w:rsid w:val="00C80BF4"/>
    <w:rsid w:val="00C80C27"/>
    <w:rsid w:val="00C810F0"/>
    <w:rsid w:val="00C81D35"/>
    <w:rsid w:val="00C820C1"/>
    <w:rsid w:val="00C820C2"/>
    <w:rsid w:val="00C82245"/>
    <w:rsid w:val="00C8281A"/>
    <w:rsid w:val="00C8311A"/>
    <w:rsid w:val="00C837CE"/>
    <w:rsid w:val="00C842DB"/>
    <w:rsid w:val="00C846DD"/>
    <w:rsid w:val="00C84719"/>
    <w:rsid w:val="00C8480C"/>
    <w:rsid w:val="00C84A9E"/>
    <w:rsid w:val="00C84CC0"/>
    <w:rsid w:val="00C8538B"/>
    <w:rsid w:val="00C85EF4"/>
    <w:rsid w:val="00C86380"/>
    <w:rsid w:val="00C866A2"/>
    <w:rsid w:val="00C86D98"/>
    <w:rsid w:val="00C875B5"/>
    <w:rsid w:val="00C90509"/>
    <w:rsid w:val="00C9150A"/>
    <w:rsid w:val="00C918E3"/>
    <w:rsid w:val="00C91E5B"/>
    <w:rsid w:val="00C93383"/>
    <w:rsid w:val="00C93384"/>
    <w:rsid w:val="00C938FA"/>
    <w:rsid w:val="00C94587"/>
    <w:rsid w:val="00C951B2"/>
    <w:rsid w:val="00C954C4"/>
    <w:rsid w:val="00C95529"/>
    <w:rsid w:val="00C96D47"/>
    <w:rsid w:val="00C976A1"/>
    <w:rsid w:val="00C97901"/>
    <w:rsid w:val="00C97A0E"/>
    <w:rsid w:val="00CA10C7"/>
    <w:rsid w:val="00CA1FB3"/>
    <w:rsid w:val="00CA2BC1"/>
    <w:rsid w:val="00CA3CB1"/>
    <w:rsid w:val="00CA454D"/>
    <w:rsid w:val="00CA46DD"/>
    <w:rsid w:val="00CA5220"/>
    <w:rsid w:val="00CA546B"/>
    <w:rsid w:val="00CA55DA"/>
    <w:rsid w:val="00CA5B09"/>
    <w:rsid w:val="00CA7015"/>
    <w:rsid w:val="00CA7F95"/>
    <w:rsid w:val="00CB0B1B"/>
    <w:rsid w:val="00CB282E"/>
    <w:rsid w:val="00CB4041"/>
    <w:rsid w:val="00CB4B66"/>
    <w:rsid w:val="00CB5A6E"/>
    <w:rsid w:val="00CB5BB5"/>
    <w:rsid w:val="00CB630F"/>
    <w:rsid w:val="00CC0133"/>
    <w:rsid w:val="00CC1A51"/>
    <w:rsid w:val="00CC2C61"/>
    <w:rsid w:val="00CC409F"/>
    <w:rsid w:val="00CC4E5F"/>
    <w:rsid w:val="00CC4F55"/>
    <w:rsid w:val="00CC538A"/>
    <w:rsid w:val="00CC59F5"/>
    <w:rsid w:val="00CC5A4B"/>
    <w:rsid w:val="00CC6547"/>
    <w:rsid w:val="00CC66D5"/>
    <w:rsid w:val="00CC69F3"/>
    <w:rsid w:val="00CC6B41"/>
    <w:rsid w:val="00CC6DBB"/>
    <w:rsid w:val="00CC72B0"/>
    <w:rsid w:val="00CC73D4"/>
    <w:rsid w:val="00CC7780"/>
    <w:rsid w:val="00CC7C1B"/>
    <w:rsid w:val="00CC7F4D"/>
    <w:rsid w:val="00CD00D4"/>
    <w:rsid w:val="00CD00D7"/>
    <w:rsid w:val="00CD0166"/>
    <w:rsid w:val="00CD0664"/>
    <w:rsid w:val="00CD0BB4"/>
    <w:rsid w:val="00CD1761"/>
    <w:rsid w:val="00CD1E9A"/>
    <w:rsid w:val="00CD2558"/>
    <w:rsid w:val="00CD28B5"/>
    <w:rsid w:val="00CD3A33"/>
    <w:rsid w:val="00CD3F0B"/>
    <w:rsid w:val="00CD458A"/>
    <w:rsid w:val="00CD49F4"/>
    <w:rsid w:val="00CD4DE8"/>
    <w:rsid w:val="00CD56EB"/>
    <w:rsid w:val="00CD5709"/>
    <w:rsid w:val="00CD5F82"/>
    <w:rsid w:val="00CD658F"/>
    <w:rsid w:val="00CD6DED"/>
    <w:rsid w:val="00CD6F71"/>
    <w:rsid w:val="00CD73EB"/>
    <w:rsid w:val="00CD7495"/>
    <w:rsid w:val="00CD74AB"/>
    <w:rsid w:val="00CD7934"/>
    <w:rsid w:val="00CE0D07"/>
    <w:rsid w:val="00CE1184"/>
    <w:rsid w:val="00CE2858"/>
    <w:rsid w:val="00CE3668"/>
    <w:rsid w:val="00CE3706"/>
    <w:rsid w:val="00CE4862"/>
    <w:rsid w:val="00CE5234"/>
    <w:rsid w:val="00CE55AE"/>
    <w:rsid w:val="00CE5955"/>
    <w:rsid w:val="00CE5B11"/>
    <w:rsid w:val="00CE6B2A"/>
    <w:rsid w:val="00CE72AE"/>
    <w:rsid w:val="00CE7890"/>
    <w:rsid w:val="00CE7DCD"/>
    <w:rsid w:val="00CF0448"/>
    <w:rsid w:val="00CF0637"/>
    <w:rsid w:val="00CF10B2"/>
    <w:rsid w:val="00CF233D"/>
    <w:rsid w:val="00CF27D8"/>
    <w:rsid w:val="00CF2A7B"/>
    <w:rsid w:val="00CF2BD7"/>
    <w:rsid w:val="00CF30F4"/>
    <w:rsid w:val="00CF3227"/>
    <w:rsid w:val="00CF3508"/>
    <w:rsid w:val="00CF3632"/>
    <w:rsid w:val="00CF38E8"/>
    <w:rsid w:val="00CF4018"/>
    <w:rsid w:val="00CF4580"/>
    <w:rsid w:val="00CF460C"/>
    <w:rsid w:val="00CF4E26"/>
    <w:rsid w:val="00CF5381"/>
    <w:rsid w:val="00CF59E8"/>
    <w:rsid w:val="00CF5D2B"/>
    <w:rsid w:val="00CF5F65"/>
    <w:rsid w:val="00CF62E6"/>
    <w:rsid w:val="00CF6621"/>
    <w:rsid w:val="00CF6D3C"/>
    <w:rsid w:val="00CF7E5E"/>
    <w:rsid w:val="00D00013"/>
    <w:rsid w:val="00D009B7"/>
    <w:rsid w:val="00D009C3"/>
    <w:rsid w:val="00D00D63"/>
    <w:rsid w:val="00D0102A"/>
    <w:rsid w:val="00D01F9F"/>
    <w:rsid w:val="00D03390"/>
    <w:rsid w:val="00D03995"/>
    <w:rsid w:val="00D03BA7"/>
    <w:rsid w:val="00D03C6F"/>
    <w:rsid w:val="00D03D0A"/>
    <w:rsid w:val="00D05D56"/>
    <w:rsid w:val="00D05E23"/>
    <w:rsid w:val="00D0690A"/>
    <w:rsid w:val="00D06BBC"/>
    <w:rsid w:val="00D0718D"/>
    <w:rsid w:val="00D071CD"/>
    <w:rsid w:val="00D07F5C"/>
    <w:rsid w:val="00D11C2E"/>
    <w:rsid w:val="00D1288A"/>
    <w:rsid w:val="00D13771"/>
    <w:rsid w:val="00D13A30"/>
    <w:rsid w:val="00D13A39"/>
    <w:rsid w:val="00D1422B"/>
    <w:rsid w:val="00D1439D"/>
    <w:rsid w:val="00D145AB"/>
    <w:rsid w:val="00D14CCF"/>
    <w:rsid w:val="00D160D8"/>
    <w:rsid w:val="00D1612E"/>
    <w:rsid w:val="00D163EA"/>
    <w:rsid w:val="00D16A52"/>
    <w:rsid w:val="00D1715C"/>
    <w:rsid w:val="00D17551"/>
    <w:rsid w:val="00D17906"/>
    <w:rsid w:val="00D17D07"/>
    <w:rsid w:val="00D17E56"/>
    <w:rsid w:val="00D20185"/>
    <w:rsid w:val="00D20462"/>
    <w:rsid w:val="00D20A3A"/>
    <w:rsid w:val="00D20F26"/>
    <w:rsid w:val="00D2117E"/>
    <w:rsid w:val="00D228E1"/>
    <w:rsid w:val="00D229DB"/>
    <w:rsid w:val="00D22D58"/>
    <w:rsid w:val="00D23700"/>
    <w:rsid w:val="00D23E0B"/>
    <w:rsid w:val="00D240FF"/>
    <w:rsid w:val="00D246E7"/>
    <w:rsid w:val="00D24FDD"/>
    <w:rsid w:val="00D25FAD"/>
    <w:rsid w:val="00D26B34"/>
    <w:rsid w:val="00D270E8"/>
    <w:rsid w:val="00D2714C"/>
    <w:rsid w:val="00D27797"/>
    <w:rsid w:val="00D27D1D"/>
    <w:rsid w:val="00D30BB8"/>
    <w:rsid w:val="00D3320B"/>
    <w:rsid w:val="00D334D3"/>
    <w:rsid w:val="00D339A2"/>
    <w:rsid w:val="00D343FF"/>
    <w:rsid w:val="00D34A4E"/>
    <w:rsid w:val="00D350C3"/>
    <w:rsid w:val="00D35BE2"/>
    <w:rsid w:val="00D36AD2"/>
    <w:rsid w:val="00D36EFC"/>
    <w:rsid w:val="00D373E6"/>
    <w:rsid w:val="00D40EDB"/>
    <w:rsid w:val="00D42722"/>
    <w:rsid w:val="00D428D3"/>
    <w:rsid w:val="00D42C78"/>
    <w:rsid w:val="00D44DF7"/>
    <w:rsid w:val="00D46354"/>
    <w:rsid w:val="00D46689"/>
    <w:rsid w:val="00D46C5D"/>
    <w:rsid w:val="00D47681"/>
    <w:rsid w:val="00D47AFD"/>
    <w:rsid w:val="00D50689"/>
    <w:rsid w:val="00D50808"/>
    <w:rsid w:val="00D514F2"/>
    <w:rsid w:val="00D52807"/>
    <w:rsid w:val="00D52B0C"/>
    <w:rsid w:val="00D52B80"/>
    <w:rsid w:val="00D532E6"/>
    <w:rsid w:val="00D533D4"/>
    <w:rsid w:val="00D536BD"/>
    <w:rsid w:val="00D53765"/>
    <w:rsid w:val="00D5408F"/>
    <w:rsid w:val="00D5428D"/>
    <w:rsid w:val="00D54339"/>
    <w:rsid w:val="00D54370"/>
    <w:rsid w:val="00D548A8"/>
    <w:rsid w:val="00D553EB"/>
    <w:rsid w:val="00D55523"/>
    <w:rsid w:val="00D56130"/>
    <w:rsid w:val="00D60504"/>
    <w:rsid w:val="00D6055F"/>
    <w:rsid w:val="00D60A94"/>
    <w:rsid w:val="00D6104D"/>
    <w:rsid w:val="00D62040"/>
    <w:rsid w:val="00D6329A"/>
    <w:rsid w:val="00D6343C"/>
    <w:rsid w:val="00D63B53"/>
    <w:rsid w:val="00D646F2"/>
    <w:rsid w:val="00D64943"/>
    <w:rsid w:val="00D64D05"/>
    <w:rsid w:val="00D65D89"/>
    <w:rsid w:val="00D65EC0"/>
    <w:rsid w:val="00D66156"/>
    <w:rsid w:val="00D66ABA"/>
    <w:rsid w:val="00D677A5"/>
    <w:rsid w:val="00D6795D"/>
    <w:rsid w:val="00D67D83"/>
    <w:rsid w:val="00D73E23"/>
    <w:rsid w:val="00D7451D"/>
    <w:rsid w:val="00D749B8"/>
    <w:rsid w:val="00D765C8"/>
    <w:rsid w:val="00D76BE7"/>
    <w:rsid w:val="00D8030D"/>
    <w:rsid w:val="00D80409"/>
    <w:rsid w:val="00D81513"/>
    <w:rsid w:val="00D81D76"/>
    <w:rsid w:val="00D83917"/>
    <w:rsid w:val="00D84018"/>
    <w:rsid w:val="00D849D1"/>
    <w:rsid w:val="00D84B47"/>
    <w:rsid w:val="00D8519F"/>
    <w:rsid w:val="00D85FA0"/>
    <w:rsid w:val="00D860F3"/>
    <w:rsid w:val="00D86150"/>
    <w:rsid w:val="00D8671E"/>
    <w:rsid w:val="00D86907"/>
    <w:rsid w:val="00D87021"/>
    <w:rsid w:val="00D872F1"/>
    <w:rsid w:val="00D87BDE"/>
    <w:rsid w:val="00D903D1"/>
    <w:rsid w:val="00D913CC"/>
    <w:rsid w:val="00D91F84"/>
    <w:rsid w:val="00D92E7B"/>
    <w:rsid w:val="00D93BD2"/>
    <w:rsid w:val="00D93FBB"/>
    <w:rsid w:val="00D93FFA"/>
    <w:rsid w:val="00D940B8"/>
    <w:rsid w:val="00D944A4"/>
    <w:rsid w:val="00D94748"/>
    <w:rsid w:val="00D95569"/>
    <w:rsid w:val="00D95A34"/>
    <w:rsid w:val="00D95BFC"/>
    <w:rsid w:val="00D966B3"/>
    <w:rsid w:val="00D97C4A"/>
    <w:rsid w:val="00DA1E19"/>
    <w:rsid w:val="00DA2775"/>
    <w:rsid w:val="00DA344B"/>
    <w:rsid w:val="00DA3577"/>
    <w:rsid w:val="00DA3C73"/>
    <w:rsid w:val="00DA492C"/>
    <w:rsid w:val="00DA4A89"/>
    <w:rsid w:val="00DA4A90"/>
    <w:rsid w:val="00DA4CA6"/>
    <w:rsid w:val="00DA52A6"/>
    <w:rsid w:val="00DA5659"/>
    <w:rsid w:val="00DA5A56"/>
    <w:rsid w:val="00DA5DBF"/>
    <w:rsid w:val="00DA77A7"/>
    <w:rsid w:val="00DA7934"/>
    <w:rsid w:val="00DA7966"/>
    <w:rsid w:val="00DB015F"/>
    <w:rsid w:val="00DB0F27"/>
    <w:rsid w:val="00DB132B"/>
    <w:rsid w:val="00DB20B0"/>
    <w:rsid w:val="00DB2CB9"/>
    <w:rsid w:val="00DB389D"/>
    <w:rsid w:val="00DB44BF"/>
    <w:rsid w:val="00DB52E0"/>
    <w:rsid w:val="00DB5B17"/>
    <w:rsid w:val="00DB6161"/>
    <w:rsid w:val="00DB7514"/>
    <w:rsid w:val="00DC09D0"/>
    <w:rsid w:val="00DC15B6"/>
    <w:rsid w:val="00DC1C4A"/>
    <w:rsid w:val="00DC2D01"/>
    <w:rsid w:val="00DC2D8C"/>
    <w:rsid w:val="00DC3000"/>
    <w:rsid w:val="00DC327F"/>
    <w:rsid w:val="00DC3302"/>
    <w:rsid w:val="00DC3584"/>
    <w:rsid w:val="00DC380A"/>
    <w:rsid w:val="00DC3BC9"/>
    <w:rsid w:val="00DC4347"/>
    <w:rsid w:val="00DC4D22"/>
    <w:rsid w:val="00DC50E0"/>
    <w:rsid w:val="00DC52CE"/>
    <w:rsid w:val="00DC5720"/>
    <w:rsid w:val="00DC5F8F"/>
    <w:rsid w:val="00DC6133"/>
    <w:rsid w:val="00DC63A1"/>
    <w:rsid w:val="00DC692B"/>
    <w:rsid w:val="00DC6D75"/>
    <w:rsid w:val="00DC709E"/>
    <w:rsid w:val="00DC7387"/>
    <w:rsid w:val="00DC76A4"/>
    <w:rsid w:val="00DC7B9B"/>
    <w:rsid w:val="00DD0934"/>
    <w:rsid w:val="00DD0A11"/>
    <w:rsid w:val="00DD0E42"/>
    <w:rsid w:val="00DD11FA"/>
    <w:rsid w:val="00DD1503"/>
    <w:rsid w:val="00DD1B03"/>
    <w:rsid w:val="00DD1BB7"/>
    <w:rsid w:val="00DD2B10"/>
    <w:rsid w:val="00DD2B85"/>
    <w:rsid w:val="00DD3664"/>
    <w:rsid w:val="00DD37FD"/>
    <w:rsid w:val="00DD4095"/>
    <w:rsid w:val="00DD42C7"/>
    <w:rsid w:val="00DD44E5"/>
    <w:rsid w:val="00DD4846"/>
    <w:rsid w:val="00DD48B9"/>
    <w:rsid w:val="00DD4BF6"/>
    <w:rsid w:val="00DD554B"/>
    <w:rsid w:val="00DD595A"/>
    <w:rsid w:val="00DD5B75"/>
    <w:rsid w:val="00DD5DE2"/>
    <w:rsid w:val="00DD5F29"/>
    <w:rsid w:val="00DD64EC"/>
    <w:rsid w:val="00DD703A"/>
    <w:rsid w:val="00DD711C"/>
    <w:rsid w:val="00DD728C"/>
    <w:rsid w:val="00DD72C5"/>
    <w:rsid w:val="00DD771A"/>
    <w:rsid w:val="00DD7DC4"/>
    <w:rsid w:val="00DE025B"/>
    <w:rsid w:val="00DE0828"/>
    <w:rsid w:val="00DE13AA"/>
    <w:rsid w:val="00DE174D"/>
    <w:rsid w:val="00DE22DD"/>
    <w:rsid w:val="00DE29CD"/>
    <w:rsid w:val="00DE2ADB"/>
    <w:rsid w:val="00DE2D1B"/>
    <w:rsid w:val="00DE2DDD"/>
    <w:rsid w:val="00DE3AFC"/>
    <w:rsid w:val="00DE3C17"/>
    <w:rsid w:val="00DE3CD8"/>
    <w:rsid w:val="00DE433D"/>
    <w:rsid w:val="00DE4E3B"/>
    <w:rsid w:val="00DE5D55"/>
    <w:rsid w:val="00DE6597"/>
    <w:rsid w:val="00DE6B24"/>
    <w:rsid w:val="00DE7000"/>
    <w:rsid w:val="00DE78E7"/>
    <w:rsid w:val="00DE7A0E"/>
    <w:rsid w:val="00DE7C7D"/>
    <w:rsid w:val="00DF053B"/>
    <w:rsid w:val="00DF0846"/>
    <w:rsid w:val="00DF0FD2"/>
    <w:rsid w:val="00DF17AF"/>
    <w:rsid w:val="00DF191E"/>
    <w:rsid w:val="00DF2768"/>
    <w:rsid w:val="00DF2A59"/>
    <w:rsid w:val="00DF2E27"/>
    <w:rsid w:val="00DF3947"/>
    <w:rsid w:val="00DF3CC6"/>
    <w:rsid w:val="00DF3E5C"/>
    <w:rsid w:val="00DF4232"/>
    <w:rsid w:val="00DF442D"/>
    <w:rsid w:val="00DF508F"/>
    <w:rsid w:val="00DF5651"/>
    <w:rsid w:val="00DF5F4E"/>
    <w:rsid w:val="00DF65C4"/>
    <w:rsid w:val="00DF69D7"/>
    <w:rsid w:val="00DF6A30"/>
    <w:rsid w:val="00E00125"/>
    <w:rsid w:val="00E006E0"/>
    <w:rsid w:val="00E006EA"/>
    <w:rsid w:val="00E01159"/>
    <w:rsid w:val="00E01B42"/>
    <w:rsid w:val="00E01B6D"/>
    <w:rsid w:val="00E01BBF"/>
    <w:rsid w:val="00E027F9"/>
    <w:rsid w:val="00E0486A"/>
    <w:rsid w:val="00E055ED"/>
    <w:rsid w:val="00E057AC"/>
    <w:rsid w:val="00E0670D"/>
    <w:rsid w:val="00E06F3D"/>
    <w:rsid w:val="00E075D2"/>
    <w:rsid w:val="00E075DA"/>
    <w:rsid w:val="00E10FBB"/>
    <w:rsid w:val="00E11621"/>
    <w:rsid w:val="00E120F3"/>
    <w:rsid w:val="00E1218B"/>
    <w:rsid w:val="00E12BC9"/>
    <w:rsid w:val="00E1471E"/>
    <w:rsid w:val="00E14732"/>
    <w:rsid w:val="00E1498C"/>
    <w:rsid w:val="00E14DA1"/>
    <w:rsid w:val="00E15284"/>
    <w:rsid w:val="00E1601A"/>
    <w:rsid w:val="00E16273"/>
    <w:rsid w:val="00E162E0"/>
    <w:rsid w:val="00E16654"/>
    <w:rsid w:val="00E16AC1"/>
    <w:rsid w:val="00E16CB5"/>
    <w:rsid w:val="00E16D97"/>
    <w:rsid w:val="00E20209"/>
    <w:rsid w:val="00E20B53"/>
    <w:rsid w:val="00E2407A"/>
    <w:rsid w:val="00E24194"/>
    <w:rsid w:val="00E24BC8"/>
    <w:rsid w:val="00E253DF"/>
    <w:rsid w:val="00E260ED"/>
    <w:rsid w:val="00E268E0"/>
    <w:rsid w:val="00E30CAA"/>
    <w:rsid w:val="00E30EED"/>
    <w:rsid w:val="00E30F1D"/>
    <w:rsid w:val="00E30F3B"/>
    <w:rsid w:val="00E31275"/>
    <w:rsid w:val="00E317EA"/>
    <w:rsid w:val="00E32189"/>
    <w:rsid w:val="00E322E2"/>
    <w:rsid w:val="00E33336"/>
    <w:rsid w:val="00E337A3"/>
    <w:rsid w:val="00E33858"/>
    <w:rsid w:val="00E33F43"/>
    <w:rsid w:val="00E3546D"/>
    <w:rsid w:val="00E35FB5"/>
    <w:rsid w:val="00E36003"/>
    <w:rsid w:val="00E3611D"/>
    <w:rsid w:val="00E3755E"/>
    <w:rsid w:val="00E4133E"/>
    <w:rsid w:val="00E41741"/>
    <w:rsid w:val="00E41919"/>
    <w:rsid w:val="00E4193B"/>
    <w:rsid w:val="00E41C77"/>
    <w:rsid w:val="00E42A26"/>
    <w:rsid w:val="00E42C9D"/>
    <w:rsid w:val="00E42F92"/>
    <w:rsid w:val="00E430A0"/>
    <w:rsid w:val="00E4478D"/>
    <w:rsid w:val="00E44ADE"/>
    <w:rsid w:val="00E45569"/>
    <w:rsid w:val="00E45914"/>
    <w:rsid w:val="00E45A0A"/>
    <w:rsid w:val="00E45A8B"/>
    <w:rsid w:val="00E45BA9"/>
    <w:rsid w:val="00E46365"/>
    <w:rsid w:val="00E468EE"/>
    <w:rsid w:val="00E4736D"/>
    <w:rsid w:val="00E47628"/>
    <w:rsid w:val="00E478E3"/>
    <w:rsid w:val="00E50204"/>
    <w:rsid w:val="00E50646"/>
    <w:rsid w:val="00E506C0"/>
    <w:rsid w:val="00E50985"/>
    <w:rsid w:val="00E51FC1"/>
    <w:rsid w:val="00E520B7"/>
    <w:rsid w:val="00E52422"/>
    <w:rsid w:val="00E5264B"/>
    <w:rsid w:val="00E52CE0"/>
    <w:rsid w:val="00E543AC"/>
    <w:rsid w:val="00E545B6"/>
    <w:rsid w:val="00E54C75"/>
    <w:rsid w:val="00E552D3"/>
    <w:rsid w:val="00E555BD"/>
    <w:rsid w:val="00E55F61"/>
    <w:rsid w:val="00E5690F"/>
    <w:rsid w:val="00E57449"/>
    <w:rsid w:val="00E57C6A"/>
    <w:rsid w:val="00E57C80"/>
    <w:rsid w:val="00E60354"/>
    <w:rsid w:val="00E606F9"/>
    <w:rsid w:val="00E610A9"/>
    <w:rsid w:val="00E6126F"/>
    <w:rsid w:val="00E61E13"/>
    <w:rsid w:val="00E63B9B"/>
    <w:rsid w:val="00E63E9A"/>
    <w:rsid w:val="00E64174"/>
    <w:rsid w:val="00E650C9"/>
    <w:rsid w:val="00E651C9"/>
    <w:rsid w:val="00E6560D"/>
    <w:rsid w:val="00E65B4C"/>
    <w:rsid w:val="00E6629B"/>
    <w:rsid w:val="00E66AC8"/>
    <w:rsid w:val="00E67D10"/>
    <w:rsid w:val="00E70EE6"/>
    <w:rsid w:val="00E72F04"/>
    <w:rsid w:val="00E73234"/>
    <w:rsid w:val="00E7348C"/>
    <w:rsid w:val="00E737BF"/>
    <w:rsid w:val="00E73B45"/>
    <w:rsid w:val="00E747D2"/>
    <w:rsid w:val="00E74FF5"/>
    <w:rsid w:val="00E7525F"/>
    <w:rsid w:val="00E75552"/>
    <w:rsid w:val="00E75F26"/>
    <w:rsid w:val="00E775BD"/>
    <w:rsid w:val="00E801DA"/>
    <w:rsid w:val="00E8047D"/>
    <w:rsid w:val="00E80D01"/>
    <w:rsid w:val="00E815C3"/>
    <w:rsid w:val="00E81ABB"/>
    <w:rsid w:val="00E81D5B"/>
    <w:rsid w:val="00E8201F"/>
    <w:rsid w:val="00E82263"/>
    <w:rsid w:val="00E825C6"/>
    <w:rsid w:val="00E82A7F"/>
    <w:rsid w:val="00E834E1"/>
    <w:rsid w:val="00E835FA"/>
    <w:rsid w:val="00E83B63"/>
    <w:rsid w:val="00E845F0"/>
    <w:rsid w:val="00E84E54"/>
    <w:rsid w:val="00E85706"/>
    <w:rsid w:val="00E85A86"/>
    <w:rsid w:val="00E874C2"/>
    <w:rsid w:val="00E87C0D"/>
    <w:rsid w:val="00E90575"/>
    <w:rsid w:val="00E907C1"/>
    <w:rsid w:val="00E90B0D"/>
    <w:rsid w:val="00E90E07"/>
    <w:rsid w:val="00E915E3"/>
    <w:rsid w:val="00E91FEA"/>
    <w:rsid w:val="00E92903"/>
    <w:rsid w:val="00E92BFC"/>
    <w:rsid w:val="00E93201"/>
    <w:rsid w:val="00E9387B"/>
    <w:rsid w:val="00E9401A"/>
    <w:rsid w:val="00E957D7"/>
    <w:rsid w:val="00E96495"/>
    <w:rsid w:val="00E964EB"/>
    <w:rsid w:val="00E966CB"/>
    <w:rsid w:val="00E96C0D"/>
    <w:rsid w:val="00E970C9"/>
    <w:rsid w:val="00E975BD"/>
    <w:rsid w:val="00E979C3"/>
    <w:rsid w:val="00E97A55"/>
    <w:rsid w:val="00E97AE9"/>
    <w:rsid w:val="00E97B61"/>
    <w:rsid w:val="00E97FDD"/>
    <w:rsid w:val="00EA045F"/>
    <w:rsid w:val="00EA2234"/>
    <w:rsid w:val="00EA25FF"/>
    <w:rsid w:val="00EA286B"/>
    <w:rsid w:val="00EA28B8"/>
    <w:rsid w:val="00EA3384"/>
    <w:rsid w:val="00EA3825"/>
    <w:rsid w:val="00EA3C52"/>
    <w:rsid w:val="00EA40E8"/>
    <w:rsid w:val="00EA424F"/>
    <w:rsid w:val="00EA4522"/>
    <w:rsid w:val="00EA5133"/>
    <w:rsid w:val="00EA5352"/>
    <w:rsid w:val="00EA5F04"/>
    <w:rsid w:val="00EA6A80"/>
    <w:rsid w:val="00EA6C74"/>
    <w:rsid w:val="00EA759B"/>
    <w:rsid w:val="00EA78AD"/>
    <w:rsid w:val="00EB034E"/>
    <w:rsid w:val="00EB0F59"/>
    <w:rsid w:val="00EB14F8"/>
    <w:rsid w:val="00EB1D46"/>
    <w:rsid w:val="00EB27A1"/>
    <w:rsid w:val="00EB29BC"/>
    <w:rsid w:val="00EB2FC0"/>
    <w:rsid w:val="00EB39E4"/>
    <w:rsid w:val="00EB45FD"/>
    <w:rsid w:val="00EB464B"/>
    <w:rsid w:val="00EB4DA7"/>
    <w:rsid w:val="00EB5A63"/>
    <w:rsid w:val="00EB638C"/>
    <w:rsid w:val="00EB6609"/>
    <w:rsid w:val="00EB6644"/>
    <w:rsid w:val="00EB6D02"/>
    <w:rsid w:val="00EB742F"/>
    <w:rsid w:val="00EB7549"/>
    <w:rsid w:val="00EB75FA"/>
    <w:rsid w:val="00EB78A8"/>
    <w:rsid w:val="00EB7A71"/>
    <w:rsid w:val="00EB7CE1"/>
    <w:rsid w:val="00EC02BC"/>
    <w:rsid w:val="00EC0A30"/>
    <w:rsid w:val="00EC1595"/>
    <w:rsid w:val="00EC1AA5"/>
    <w:rsid w:val="00EC20FC"/>
    <w:rsid w:val="00EC2677"/>
    <w:rsid w:val="00EC2EBD"/>
    <w:rsid w:val="00EC2EC2"/>
    <w:rsid w:val="00EC2F70"/>
    <w:rsid w:val="00EC4271"/>
    <w:rsid w:val="00EC49C6"/>
    <w:rsid w:val="00EC50B9"/>
    <w:rsid w:val="00EC5B25"/>
    <w:rsid w:val="00EC625D"/>
    <w:rsid w:val="00EC699F"/>
    <w:rsid w:val="00ED0436"/>
    <w:rsid w:val="00ED0ABE"/>
    <w:rsid w:val="00ED167A"/>
    <w:rsid w:val="00ED1C92"/>
    <w:rsid w:val="00ED1E68"/>
    <w:rsid w:val="00ED254E"/>
    <w:rsid w:val="00ED2979"/>
    <w:rsid w:val="00ED2C28"/>
    <w:rsid w:val="00ED3889"/>
    <w:rsid w:val="00ED3DBA"/>
    <w:rsid w:val="00ED3F25"/>
    <w:rsid w:val="00ED4AB7"/>
    <w:rsid w:val="00ED512E"/>
    <w:rsid w:val="00ED5997"/>
    <w:rsid w:val="00ED5FB6"/>
    <w:rsid w:val="00ED693D"/>
    <w:rsid w:val="00ED74BD"/>
    <w:rsid w:val="00ED74C6"/>
    <w:rsid w:val="00ED7E18"/>
    <w:rsid w:val="00EE0591"/>
    <w:rsid w:val="00EE0737"/>
    <w:rsid w:val="00EE096F"/>
    <w:rsid w:val="00EE09BA"/>
    <w:rsid w:val="00EE11A1"/>
    <w:rsid w:val="00EE150E"/>
    <w:rsid w:val="00EE1BAE"/>
    <w:rsid w:val="00EE2903"/>
    <w:rsid w:val="00EE3157"/>
    <w:rsid w:val="00EE32D2"/>
    <w:rsid w:val="00EE3D9A"/>
    <w:rsid w:val="00EE3DA7"/>
    <w:rsid w:val="00EE4151"/>
    <w:rsid w:val="00EE5898"/>
    <w:rsid w:val="00EE61C6"/>
    <w:rsid w:val="00EE6E10"/>
    <w:rsid w:val="00EE7276"/>
    <w:rsid w:val="00EE7B7D"/>
    <w:rsid w:val="00EF0306"/>
    <w:rsid w:val="00EF0604"/>
    <w:rsid w:val="00EF082D"/>
    <w:rsid w:val="00EF0D2C"/>
    <w:rsid w:val="00EF156E"/>
    <w:rsid w:val="00EF1709"/>
    <w:rsid w:val="00EF176F"/>
    <w:rsid w:val="00EF17C1"/>
    <w:rsid w:val="00EF182C"/>
    <w:rsid w:val="00EF1892"/>
    <w:rsid w:val="00EF18A4"/>
    <w:rsid w:val="00EF18A6"/>
    <w:rsid w:val="00EF1FC2"/>
    <w:rsid w:val="00EF2433"/>
    <w:rsid w:val="00EF28F7"/>
    <w:rsid w:val="00EF2E4A"/>
    <w:rsid w:val="00EF2F86"/>
    <w:rsid w:val="00EF38F8"/>
    <w:rsid w:val="00EF5407"/>
    <w:rsid w:val="00EF5918"/>
    <w:rsid w:val="00EF5D13"/>
    <w:rsid w:val="00EF5E2D"/>
    <w:rsid w:val="00EF6120"/>
    <w:rsid w:val="00EF6194"/>
    <w:rsid w:val="00EF665B"/>
    <w:rsid w:val="00EF6F2E"/>
    <w:rsid w:val="00EF70C6"/>
    <w:rsid w:val="00F00178"/>
    <w:rsid w:val="00F00276"/>
    <w:rsid w:val="00F005FB"/>
    <w:rsid w:val="00F00920"/>
    <w:rsid w:val="00F0099A"/>
    <w:rsid w:val="00F02FF4"/>
    <w:rsid w:val="00F03002"/>
    <w:rsid w:val="00F03259"/>
    <w:rsid w:val="00F03261"/>
    <w:rsid w:val="00F037AC"/>
    <w:rsid w:val="00F03DAA"/>
    <w:rsid w:val="00F04A95"/>
    <w:rsid w:val="00F04EF1"/>
    <w:rsid w:val="00F05451"/>
    <w:rsid w:val="00F06573"/>
    <w:rsid w:val="00F07A1E"/>
    <w:rsid w:val="00F1020D"/>
    <w:rsid w:val="00F10F2F"/>
    <w:rsid w:val="00F11098"/>
    <w:rsid w:val="00F12156"/>
    <w:rsid w:val="00F12ABF"/>
    <w:rsid w:val="00F1345E"/>
    <w:rsid w:val="00F135C5"/>
    <w:rsid w:val="00F13717"/>
    <w:rsid w:val="00F137C8"/>
    <w:rsid w:val="00F139B9"/>
    <w:rsid w:val="00F13E10"/>
    <w:rsid w:val="00F14423"/>
    <w:rsid w:val="00F1537F"/>
    <w:rsid w:val="00F16FD0"/>
    <w:rsid w:val="00F17FBC"/>
    <w:rsid w:val="00F20C89"/>
    <w:rsid w:val="00F2109B"/>
    <w:rsid w:val="00F216AC"/>
    <w:rsid w:val="00F21ACF"/>
    <w:rsid w:val="00F21D6E"/>
    <w:rsid w:val="00F225EF"/>
    <w:rsid w:val="00F2271B"/>
    <w:rsid w:val="00F22968"/>
    <w:rsid w:val="00F23C42"/>
    <w:rsid w:val="00F23CB1"/>
    <w:rsid w:val="00F23CC3"/>
    <w:rsid w:val="00F24270"/>
    <w:rsid w:val="00F24A17"/>
    <w:rsid w:val="00F25AEF"/>
    <w:rsid w:val="00F26000"/>
    <w:rsid w:val="00F260FD"/>
    <w:rsid w:val="00F26618"/>
    <w:rsid w:val="00F2770C"/>
    <w:rsid w:val="00F2787C"/>
    <w:rsid w:val="00F279FC"/>
    <w:rsid w:val="00F27A96"/>
    <w:rsid w:val="00F27E7E"/>
    <w:rsid w:val="00F31AED"/>
    <w:rsid w:val="00F325EB"/>
    <w:rsid w:val="00F328F9"/>
    <w:rsid w:val="00F33722"/>
    <w:rsid w:val="00F33AA3"/>
    <w:rsid w:val="00F34692"/>
    <w:rsid w:val="00F34F22"/>
    <w:rsid w:val="00F3507E"/>
    <w:rsid w:val="00F355D7"/>
    <w:rsid w:val="00F3584D"/>
    <w:rsid w:val="00F35FCD"/>
    <w:rsid w:val="00F36584"/>
    <w:rsid w:val="00F36C1B"/>
    <w:rsid w:val="00F36D96"/>
    <w:rsid w:val="00F40173"/>
    <w:rsid w:val="00F40206"/>
    <w:rsid w:val="00F40ADA"/>
    <w:rsid w:val="00F4138E"/>
    <w:rsid w:val="00F42838"/>
    <w:rsid w:val="00F42D8E"/>
    <w:rsid w:val="00F42F9A"/>
    <w:rsid w:val="00F434FA"/>
    <w:rsid w:val="00F443DB"/>
    <w:rsid w:val="00F44AE9"/>
    <w:rsid w:val="00F44B2A"/>
    <w:rsid w:val="00F453CA"/>
    <w:rsid w:val="00F4562D"/>
    <w:rsid w:val="00F457E6"/>
    <w:rsid w:val="00F458C8"/>
    <w:rsid w:val="00F45CFB"/>
    <w:rsid w:val="00F471D9"/>
    <w:rsid w:val="00F47C5A"/>
    <w:rsid w:val="00F501C3"/>
    <w:rsid w:val="00F505CE"/>
    <w:rsid w:val="00F50654"/>
    <w:rsid w:val="00F50D41"/>
    <w:rsid w:val="00F513F1"/>
    <w:rsid w:val="00F516BB"/>
    <w:rsid w:val="00F516BF"/>
    <w:rsid w:val="00F518E4"/>
    <w:rsid w:val="00F519B2"/>
    <w:rsid w:val="00F51DBF"/>
    <w:rsid w:val="00F51F90"/>
    <w:rsid w:val="00F526E1"/>
    <w:rsid w:val="00F52750"/>
    <w:rsid w:val="00F52906"/>
    <w:rsid w:val="00F54331"/>
    <w:rsid w:val="00F547DD"/>
    <w:rsid w:val="00F55CAE"/>
    <w:rsid w:val="00F55F46"/>
    <w:rsid w:val="00F561B2"/>
    <w:rsid w:val="00F56258"/>
    <w:rsid w:val="00F563F1"/>
    <w:rsid w:val="00F564A1"/>
    <w:rsid w:val="00F5687A"/>
    <w:rsid w:val="00F569E6"/>
    <w:rsid w:val="00F574E9"/>
    <w:rsid w:val="00F576B8"/>
    <w:rsid w:val="00F57B0C"/>
    <w:rsid w:val="00F57EE7"/>
    <w:rsid w:val="00F602EB"/>
    <w:rsid w:val="00F60861"/>
    <w:rsid w:val="00F60C09"/>
    <w:rsid w:val="00F61A95"/>
    <w:rsid w:val="00F6236F"/>
    <w:rsid w:val="00F627F2"/>
    <w:rsid w:val="00F637F0"/>
    <w:rsid w:val="00F65473"/>
    <w:rsid w:val="00F65866"/>
    <w:rsid w:val="00F679B0"/>
    <w:rsid w:val="00F67EED"/>
    <w:rsid w:val="00F70AFC"/>
    <w:rsid w:val="00F71402"/>
    <w:rsid w:val="00F71FDF"/>
    <w:rsid w:val="00F725F7"/>
    <w:rsid w:val="00F734C1"/>
    <w:rsid w:val="00F737D2"/>
    <w:rsid w:val="00F7485A"/>
    <w:rsid w:val="00F74D1F"/>
    <w:rsid w:val="00F7585F"/>
    <w:rsid w:val="00F76CED"/>
    <w:rsid w:val="00F77581"/>
    <w:rsid w:val="00F777CB"/>
    <w:rsid w:val="00F802A0"/>
    <w:rsid w:val="00F80663"/>
    <w:rsid w:val="00F80AFB"/>
    <w:rsid w:val="00F80B55"/>
    <w:rsid w:val="00F815D5"/>
    <w:rsid w:val="00F82275"/>
    <w:rsid w:val="00F82A0B"/>
    <w:rsid w:val="00F8335E"/>
    <w:rsid w:val="00F84101"/>
    <w:rsid w:val="00F84595"/>
    <w:rsid w:val="00F8552C"/>
    <w:rsid w:val="00F85997"/>
    <w:rsid w:val="00F85A71"/>
    <w:rsid w:val="00F86A0A"/>
    <w:rsid w:val="00F86C20"/>
    <w:rsid w:val="00F86DA1"/>
    <w:rsid w:val="00F86DC4"/>
    <w:rsid w:val="00F86EB7"/>
    <w:rsid w:val="00F87183"/>
    <w:rsid w:val="00F87579"/>
    <w:rsid w:val="00F875C0"/>
    <w:rsid w:val="00F87633"/>
    <w:rsid w:val="00F8782D"/>
    <w:rsid w:val="00F87D09"/>
    <w:rsid w:val="00F90F06"/>
    <w:rsid w:val="00F90F21"/>
    <w:rsid w:val="00F92EA8"/>
    <w:rsid w:val="00F9414E"/>
    <w:rsid w:val="00F941E1"/>
    <w:rsid w:val="00F9427C"/>
    <w:rsid w:val="00F960B8"/>
    <w:rsid w:val="00F96135"/>
    <w:rsid w:val="00F961C0"/>
    <w:rsid w:val="00F9701F"/>
    <w:rsid w:val="00F97BFC"/>
    <w:rsid w:val="00F97CEC"/>
    <w:rsid w:val="00FA06FC"/>
    <w:rsid w:val="00FA0B74"/>
    <w:rsid w:val="00FA232F"/>
    <w:rsid w:val="00FA24D8"/>
    <w:rsid w:val="00FA26BD"/>
    <w:rsid w:val="00FA3196"/>
    <w:rsid w:val="00FA31FE"/>
    <w:rsid w:val="00FA37D8"/>
    <w:rsid w:val="00FA3D17"/>
    <w:rsid w:val="00FA3F79"/>
    <w:rsid w:val="00FA3FEC"/>
    <w:rsid w:val="00FA45F6"/>
    <w:rsid w:val="00FA4607"/>
    <w:rsid w:val="00FA493D"/>
    <w:rsid w:val="00FA5216"/>
    <w:rsid w:val="00FA52D3"/>
    <w:rsid w:val="00FA6F51"/>
    <w:rsid w:val="00FA727F"/>
    <w:rsid w:val="00FA76D6"/>
    <w:rsid w:val="00FA78AA"/>
    <w:rsid w:val="00FA7E89"/>
    <w:rsid w:val="00FB0186"/>
    <w:rsid w:val="00FB123F"/>
    <w:rsid w:val="00FB13B0"/>
    <w:rsid w:val="00FB14E3"/>
    <w:rsid w:val="00FB1A2E"/>
    <w:rsid w:val="00FB1F09"/>
    <w:rsid w:val="00FB2587"/>
    <w:rsid w:val="00FB2E85"/>
    <w:rsid w:val="00FB46AE"/>
    <w:rsid w:val="00FB4957"/>
    <w:rsid w:val="00FB4C2A"/>
    <w:rsid w:val="00FB4DF5"/>
    <w:rsid w:val="00FB4EDA"/>
    <w:rsid w:val="00FB56B7"/>
    <w:rsid w:val="00FB760E"/>
    <w:rsid w:val="00FB7B42"/>
    <w:rsid w:val="00FB7BA3"/>
    <w:rsid w:val="00FC051F"/>
    <w:rsid w:val="00FC0584"/>
    <w:rsid w:val="00FC22E8"/>
    <w:rsid w:val="00FC2562"/>
    <w:rsid w:val="00FC307B"/>
    <w:rsid w:val="00FC35AE"/>
    <w:rsid w:val="00FC3B5F"/>
    <w:rsid w:val="00FC41D4"/>
    <w:rsid w:val="00FC4810"/>
    <w:rsid w:val="00FC4B4D"/>
    <w:rsid w:val="00FC5140"/>
    <w:rsid w:val="00FC5465"/>
    <w:rsid w:val="00FC5E3C"/>
    <w:rsid w:val="00FC60E5"/>
    <w:rsid w:val="00FC6894"/>
    <w:rsid w:val="00FC69B1"/>
    <w:rsid w:val="00FC70DB"/>
    <w:rsid w:val="00FC715A"/>
    <w:rsid w:val="00FC7813"/>
    <w:rsid w:val="00FC787B"/>
    <w:rsid w:val="00FC7F87"/>
    <w:rsid w:val="00FD0CB0"/>
    <w:rsid w:val="00FD0DA6"/>
    <w:rsid w:val="00FD1006"/>
    <w:rsid w:val="00FD189F"/>
    <w:rsid w:val="00FD204E"/>
    <w:rsid w:val="00FD26AD"/>
    <w:rsid w:val="00FD2E16"/>
    <w:rsid w:val="00FD3B68"/>
    <w:rsid w:val="00FD3F97"/>
    <w:rsid w:val="00FD4510"/>
    <w:rsid w:val="00FD4F4E"/>
    <w:rsid w:val="00FD5C37"/>
    <w:rsid w:val="00FD5D02"/>
    <w:rsid w:val="00FD60E8"/>
    <w:rsid w:val="00FD643B"/>
    <w:rsid w:val="00FD69BD"/>
    <w:rsid w:val="00FD6AFE"/>
    <w:rsid w:val="00FD6B7E"/>
    <w:rsid w:val="00FD6C72"/>
    <w:rsid w:val="00FD6F61"/>
    <w:rsid w:val="00FD7850"/>
    <w:rsid w:val="00FD7A40"/>
    <w:rsid w:val="00FD7DAC"/>
    <w:rsid w:val="00FE01CA"/>
    <w:rsid w:val="00FE03FB"/>
    <w:rsid w:val="00FE065C"/>
    <w:rsid w:val="00FE216D"/>
    <w:rsid w:val="00FE3255"/>
    <w:rsid w:val="00FE36A0"/>
    <w:rsid w:val="00FE3B9C"/>
    <w:rsid w:val="00FE3D80"/>
    <w:rsid w:val="00FE3E3B"/>
    <w:rsid w:val="00FE3E5E"/>
    <w:rsid w:val="00FE400B"/>
    <w:rsid w:val="00FE5F4F"/>
    <w:rsid w:val="00FE5F51"/>
    <w:rsid w:val="00FE645E"/>
    <w:rsid w:val="00FE73CB"/>
    <w:rsid w:val="00FE7426"/>
    <w:rsid w:val="00FE76B4"/>
    <w:rsid w:val="00FF03ED"/>
    <w:rsid w:val="00FF1317"/>
    <w:rsid w:val="00FF133F"/>
    <w:rsid w:val="00FF1A77"/>
    <w:rsid w:val="00FF1D2A"/>
    <w:rsid w:val="00FF2E33"/>
    <w:rsid w:val="00FF366D"/>
    <w:rsid w:val="00FF4724"/>
    <w:rsid w:val="00FF4DE4"/>
    <w:rsid w:val="00FF51E2"/>
    <w:rsid w:val="00FF534B"/>
    <w:rsid w:val="00FF5929"/>
    <w:rsid w:val="00FF5E0E"/>
    <w:rsid w:val="00FF6152"/>
    <w:rsid w:val="00FF654B"/>
    <w:rsid w:val="00FF68FE"/>
    <w:rsid w:val="00FF717F"/>
    <w:rsid w:val="00FF7BAE"/>
    <w:rsid w:val="0100390C"/>
    <w:rsid w:val="010838A0"/>
    <w:rsid w:val="010B405F"/>
    <w:rsid w:val="01422510"/>
    <w:rsid w:val="014821DC"/>
    <w:rsid w:val="015F04DF"/>
    <w:rsid w:val="017E251D"/>
    <w:rsid w:val="01822573"/>
    <w:rsid w:val="01A050EF"/>
    <w:rsid w:val="01C04E49"/>
    <w:rsid w:val="01D31020"/>
    <w:rsid w:val="01F36FCC"/>
    <w:rsid w:val="01F66ABD"/>
    <w:rsid w:val="02286848"/>
    <w:rsid w:val="024141DC"/>
    <w:rsid w:val="02532161"/>
    <w:rsid w:val="02554BBA"/>
    <w:rsid w:val="02661E94"/>
    <w:rsid w:val="028B0FA8"/>
    <w:rsid w:val="02AF479D"/>
    <w:rsid w:val="02D7069C"/>
    <w:rsid w:val="02E903CF"/>
    <w:rsid w:val="02EB4148"/>
    <w:rsid w:val="02EC6CDC"/>
    <w:rsid w:val="02F962F4"/>
    <w:rsid w:val="031C69F7"/>
    <w:rsid w:val="03394157"/>
    <w:rsid w:val="03525729"/>
    <w:rsid w:val="03655CA8"/>
    <w:rsid w:val="03677629"/>
    <w:rsid w:val="037636BA"/>
    <w:rsid w:val="03821A33"/>
    <w:rsid w:val="03B3570D"/>
    <w:rsid w:val="03B7642B"/>
    <w:rsid w:val="03BD2DB3"/>
    <w:rsid w:val="03FD4132"/>
    <w:rsid w:val="040535E2"/>
    <w:rsid w:val="04073590"/>
    <w:rsid w:val="041453FF"/>
    <w:rsid w:val="04367B72"/>
    <w:rsid w:val="04546A0C"/>
    <w:rsid w:val="045C05DE"/>
    <w:rsid w:val="045F303F"/>
    <w:rsid w:val="04737D91"/>
    <w:rsid w:val="047F2D99"/>
    <w:rsid w:val="04F76DD4"/>
    <w:rsid w:val="05022176"/>
    <w:rsid w:val="055B6CA9"/>
    <w:rsid w:val="055E50A5"/>
    <w:rsid w:val="0566783E"/>
    <w:rsid w:val="05687A28"/>
    <w:rsid w:val="057743B8"/>
    <w:rsid w:val="05B13F08"/>
    <w:rsid w:val="05BC001D"/>
    <w:rsid w:val="062F3104"/>
    <w:rsid w:val="063204BC"/>
    <w:rsid w:val="06526E0C"/>
    <w:rsid w:val="06581AF4"/>
    <w:rsid w:val="067B57E2"/>
    <w:rsid w:val="06A92350"/>
    <w:rsid w:val="06AC177E"/>
    <w:rsid w:val="06E72E78"/>
    <w:rsid w:val="06EC4DB0"/>
    <w:rsid w:val="06F77735"/>
    <w:rsid w:val="06FF01C2"/>
    <w:rsid w:val="06FF6413"/>
    <w:rsid w:val="074D6A25"/>
    <w:rsid w:val="076C4443"/>
    <w:rsid w:val="076C6611"/>
    <w:rsid w:val="07854B6B"/>
    <w:rsid w:val="07944DAE"/>
    <w:rsid w:val="07AF7E3A"/>
    <w:rsid w:val="07BE3B35"/>
    <w:rsid w:val="07DA66E8"/>
    <w:rsid w:val="07FD1FF2"/>
    <w:rsid w:val="08144B02"/>
    <w:rsid w:val="083D2443"/>
    <w:rsid w:val="086E0C08"/>
    <w:rsid w:val="08AC6127"/>
    <w:rsid w:val="08C571E9"/>
    <w:rsid w:val="08EC7162"/>
    <w:rsid w:val="09306D58"/>
    <w:rsid w:val="094B75D5"/>
    <w:rsid w:val="09670844"/>
    <w:rsid w:val="0A00497C"/>
    <w:rsid w:val="0A7F1121"/>
    <w:rsid w:val="0A8A2498"/>
    <w:rsid w:val="0AAA61B7"/>
    <w:rsid w:val="0AAC0660"/>
    <w:rsid w:val="0AC05EBA"/>
    <w:rsid w:val="0AC41E4E"/>
    <w:rsid w:val="0AED61CD"/>
    <w:rsid w:val="0AFA073B"/>
    <w:rsid w:val="0B266B9D"/>
    <w:rsid w:val="0B3C6D8C"/>
    <w:rsid w:val="0B466C6B"/>
    <w:rsid w:val="0B8569B8"/>
    <w:rsid w:val="0B8C18E5"/>
    <w:rsid w:val="0C00076A"/>
    <w:rsid w:val="0C0A3E3B"/>
    <w:rsid w:val="0C2030B4"/>
    <w:rsid w:val="0C302EFF"/>
    <w:rsid w:val="0C802428"/>
    <w:rsid w:val="0CA535B9"/>
    <w:rsid w:val="0CCF4ADA"/>
    <w:rsid w:val="0CDA1741"/>
    <w:rsid w:val="0D030CF2"/>
    <w:rsid w:val="0D157A57"/>
    <w:rsid w:val="0D1E1B4E"/>
    <w:rsid w:val="0D4975B0"/>
    <w:rsid w:val="0D4C612B"/>
    <w:rsid w:val="0D674348"/>
    <w:rsid w:val="0D6D61B7"/>
    <w:rsid w:val="0D915A22"/>
    <w:rsid w:val="0DBE1C14"/>
    <w:rsid w:val="0DDB1EEA"/>
    <w:rsid w:val="0DEE0F90"/>
    <w:rsid w:val="0E272D43"/>
    <w:rsid w:val="0E36791D"/>
    <w:rsid w:val="0E3966AF"/>
    <w:rsid w:val="0E4D38A8"/>
    <w:rsid w:val="0E4E7E3D"/>
    <w:rsid w:val="0E91257E"/>
    <w:rsid w:val="0ED85EC8"/>
    <w:rsid w:val="0F3155D8"/>
    <w:rsid w:val="0F354B1B"/>
    <w:rsid w:val="0F3E3A13"/>
    <w:rsid w:val="0F5337A0"/>
    <w:rsid w:val="0F8110A9"/>
    <w:rsid w:val="0FB57922"/>
    <w:rsid w:val="0FC1695C"/>
    <w:rsid w:val="0FCE72CB"/>
    <w:rsid w:val="0FFD1D9C"/>
    <w:rsid w:val="10051EA5"/>
    <w:rsid w:val="10065E8C"/>
    <w:rsid w:val="1017511B"/>
    <w:rsid w:val="103A226A"/>
    <w:rsid w:val="103E3CA8"/>
    <w:rsid w:val="105C48D7"/>
    <w:rsid w:val="105E41AB"/>
    <w:rsid w:val="106B68C8"/>
    <w:rsid w:val="109A0F5B"/>
    <w:rsid w:val="10AC760C"/>
    <w:rsid w:val="10BB784F"/>
    <w:rsid w:val="10D44C8E"/>
    <w:rsid w:val="10DB57FB"/>
    <w:rsid w:val="110112B8"/>
    <w:rsid w:val="111156C1"/>
    <w:rsid w:val="1145536B"/>
    <w:rsid w:val="115B2DE0"/>
    <w:rsid w:val="11785740"/>
    <w:rsid w:val="118841E6"/>
    <w:rsid w:val="119658A4"/>
    <w:rsid w:val="11AD7676"/>
    <w:rsid w:val="11CD1F50"/>
    <w:rsid w:val="11DF30C9"/>
    <w:rsid w:val="11EB5F12"/>
    <w:rsid w:val="11FD3E74"/>
    <w:rsid w:val="120E1C01"/>
    <w:rsid w:val="123814F3"/>
    <w:rsid w:val="123A47A4"/>
    <w:rsid w:val="123F6EE2"/>
    <w:rsid w:val="12443874"/>
    <w:rsid w:val="127B33F4"/>
    <w:rsid w:val="12936B41"/>
    <w:rsid w:val="12947274"/>
    <w:rsid w:val="129F597A"/>
    <w:rsid w:val="12D746E8"/>
    <w:rsid w:val="12E63C6D"/>
    <w:rsid w:val="12F9149F"/>
    <w:rsid w:val="131958C8"/>
    <w:rsid w:val="13653513"/>
    <w:rsid w:val="137A7C32"/>
    <w:rsid w:val="137B32C6"/>
    <w:rsid w:val="13C07007"/>
    <w:rsid w:val="13C51963"/>
    <w:rsid w:val="14063501"/>
    <w:rsid w:val="14373691"/>
    <w:rsid w:val="14412BB5"/>
    <w:rsid w:val="14961F4B"/>
    <w:rsid w:val="14AC444B"/>
    <w:rsid w:val="14AF19B1"/>
    <w:rsid w:val="14C03686"/>
    <w:rsid w:val="14CB5B87"/>
    <w:rsid w:val="14CE5B52"/>
    <w:rsid w:val="14D4088D"/>
    <w:rsid w:val="14E01776"/>
    <w:rsid w:val="153876C0"/>
    <w:rsid w:val="15B713F5"/>
    <w:rsid w:val="15D171CD"/>
    <w:rsid w:val="15F35395"/>
    <w:rsid w:val="1601578D"/>
    <w:rsid w:val="16247C45"/>
    <w:rsid w:val="163634D4"/>
    <w:rsid w:val="17310E56"/>
    <w:rsid w:val="17326391"/>
    <w:rsid w:val="173A70AE"/>
    <w:rsid w:val="173B6FF4"/>
    <w:rsid w:val="17516817"/>
    <w:rsid w:val="178B4EC2"/>
    <w:rsid w:val="17946704"/>
    <w:rsid w:val="17A51566"/>
    <w:rsid w:val="17B1375A"/>
    <w:rsid w:val="17B31280"/>
    <w:rsid w:val="181A12FF"/>
    <w:rsid w:val="1840063A"/>
    <w:rsid w:val="184243B2"/>
    <w:rsid w:val="18463837"/>
    <w:rsid w:val="18552337"/>
    <w:rsid w:val="186E1460"/>
    <w:rsid w:val="18737E83"/>
    <w:rsid w:val="18DE232D"/>
    <w:rsid w:val="18E86B53"/>
    <w:rsid w:val="18ED484C"/>
    <w:rsid w:val="18EF453A"/>
    <w:rsid w:val="18F00ADF"/>
    <w:rsid w:val="19183488"/>
    <w:rsid w:val="194F6D87"/>
    <w:rsid w:val="195C14A3"/>
    <w:rsid w:val="197B401F"/>
    <w:rsid w:val="19924EC5"/>
    <w:rsid w:val="19A1335A"/>
    <w:rsid w:val="19DD0836"/>
    <w:rsid w:val="1A0271D1"/>
    <w:rsid w:val="1A044859"/>
    <w:rsid w:val="1A255D39"/>
    <w:rsid w:val="1A992348"/>
    <w:rsid w:val="1AB84DFF"/>
    <w:rsid w:val="1ADB0789"/>
    <w:rsid w:val="1ADC289C"/>
    <w:rsid w:val="1B03607B"/>
    <w:rsid w:val="1B3D3AE5"/>
    <w:rsid w:val="1B450406"/>
    <w:rsid w:val="1B612DA1"/>
    <w:rsid w:val="1B7A20B5"/>
    <w:rsid w:val="1BCA50F8"/>
    <w:rsid w:val="1BF6798D"/>
    <w:rsid w:val="1C0A3439"/>
    <w:rsid w:val="1C252823"/>
    <w:rsid w:val="1C654B13"/>
    <w:rsid w:val="1C741935"/>
    <w:rsid w:val="1C8E406A"/>
    <w:rsid w:val="1C993345"/>
    <w:rsid w:val="1CCC6940"/>
    <w:rsid w:val="1CDA7CB2"/>
    <w:rsid w:val="1CE41EDC"/>
    <w:rsid w:val="1CE974F2"/>
    <w:rsid w:val="1CF84D03"/>
    <w:rsid w:val="1CFE11EF"/>
    <w:rsid w:val="1D1C41FB"/>
    <w:rsid w:val="1D24677C"/>
    <w:rsid w:val="1D38038E"/>
    <w:rsid w:val="1D4666F2"/>
    <w:rsid w:val="1D4F125E"/>
    <w:rsid w:val="1D522C99"/>
    <w:rsid w:val="1D64776B"/>
    <w:rsid w:val="1D813BCE"/>
    <w:rsid w:val="1D823829"/>
    <w:rsid w:val="1D83713E"/>
    <w:rsid w:val="1D8968A7"/>
    <w:rsid w:val="1D94745E"/>
    <w:rsid w:val="1E0333FF"/>
    <w:rsid w:val="1E193E07"/>
    <w:rsid w:val="1E1C01B1"/>
    <w:rsid w:val="1E594203"/>
    <w:rsid w:val="1E6257AE"/>
    <w:rsid w:val="1E6A527A"/>
    <w:rsid w:val="1E850BE7"/>
    <w:rsid w:val="1E983ECC"/>
    <w:rsid w:val="1EA42DF1"/>
    <w:rsid w:val="1EBB4364"/>
    <w:rsid w:val="1ED33FB6"/>
    <w:rsid w:val="1ED52832"/>
    <w:rsid w:val="1EFA2108"/>
    <w:rsid w:val="1F0C02E5"/>
    <w:rsid w:val="1F6D7F66"/>
    <w:rsid w:val="1F78690B"/>
    <w:rsid w:val="1F901EA7"/>
    <w:rsid w:val="1F923E71"/>
    <w:rsid w:val="1F9E2816"/>
    <w:rsid w:val="1FBC4A4A"/>
    <w:rsid w:val="1FD21442"/>
    <w:rsid w:val="1FD224BF"/>
    <w:rsid w:val="1FDA1374"/>
    <w:rsid w:val="1FF16FA5"/>
    <w:rsid w:val="200F0CC1"/>
    <w:rsid w:val="20183C05"/>
    <w:rsid w:val="203E5A77"/>
    <w:rsid w:val="20B9166B"/>
    <w:rsid w:val="20BE47F2"/>
    <w:rsid w:val="20CB7022"/>
    <w:rsid w:val="20D14525"/>
    <w:rsid w:val="20D173E4"/>
    <w:rsid w:val="20D92E73"/>
    <w:rsid w:val="21114473"/>
    <w:rsid w:val="213452B6"/>
    <w:rsid w:val="217355DC"/>
    <w:rsid w:val="217C6B87"/>
    <w:rsid w:val="21931E67"/>
    <w:rsid w:val="219D5BA9"/>
    <w:rsid w:val="21AB2FC8"/>
    <w:rsid w:val="21AF66E2"/>
    <w:rsid w:val="21B77A4A"/>
    <w:rsid w:val="21B917AE"/>
    <w:rsid w:val="21E309B4"/>
    <w:rsid w:val="21FC7CC7"/>
    <w:rsid w:val="22056BA2"/>
    <w:rsid w:val="22526550"/>
    <w:rsid w:val="22837AA1"/>
    <w:rsid w:val="229A32E2"/>
    <w:rsid w:val="229A4587"/>
    <w:rsid w:val="22A04AF7"/>
    <w:rsid w:val="22CC1331"/>
    <w:rsid w:val="22CC3F3D"/>
    <w:rsid w:val="22D36B47"/>
    <w:rsid w:val="22DE0BD0"/>
    <w:rsid w:val="22E36BDF"/>
    <w:rsid w:val="22E530AB"/>
    <w:rsid w:val="22FE52E5"/>
    <w:rsid w:val="23046E34"/>
    <w:rsid w:val="230F0BE2"/>
    <w:rsid w:val="23151041"/>
    <w:rsid w:val="232B2612"/>
    <w:rsid w:val="235340EC"/>
    <w:rsid w:val="235B3201"/>
    <w:rsid w:val="236E69A3"/>
    <w:rsid w:val="238070E5"/>
    <w:rsid w:val="23A128D5"/>
    <w:rsid w:val="23D66D38"/>
    <w:rsid w:val="23E9740F"/>
    <w:rsid w:val="240B7598"/>
    <w:rsid w:val="244E7A9B"/>
    <w:rsid w:val="245F5A31"/>
    <w:rsid w:val="24763D61"/>
    <w:rsid w:val="248B77A9"/>
    <w:rsid w:val="24977834"/>
    <w:rsid w:val="249947A9"/>
    <w:rsid w:val="249C0381"/>
    <w:rsid w:val="24BB3876"/>
    <w:rsid w:val="24CF6FCD"/>
    <w:rsid w:val="24E22B5F"/>
    <w:rsid w:val="24F22ECE"/>
    <w:rsid w:val="25033A0D"/>
    <w:rsid w:val="251C65EC"/>
    <w:rsid w:val="252A06A8"/>
    <w:rsid w:val="25565A29"/>
    <w:rsid w:val="255E0351"/>
    <w:rsid w:val="25670E64"/>
    <w:rsid w:val="25760CBC"/>
    <w:rsid w:val="2578194C"/>
    <w:rsid w:val="25CA32CF"/>
    <w:rsid w:val="26031625"/>
    <w:rsid w:val="264D6D44"/>
    <w:rsid w:val="264E03C6"/>
    <w:rsid w:val="26577542"/>
    <w:rsid w:val="265F5288"/>
    <w:rsid w:val="26670759"/>
    <w:rsid w:val="2677791D"/>
    <w:rsid w:val="269A5307"/>
    <w:rsid w:val="26E1367D"/>
    <w:rsid w:val="26E36D60"/>
    <w:rsid w:val="27271343"/>
    <w:rsid w:val="27795A02"/>
    <w:rsid w:val="27B128F9"/>
    <w:rsid w:val="27B70919"/>
    <w:rsid w:val="27CF266B"/>
    <w:rsid w:val="27CF3319"/>
    <w:rsid w:val="27EF773A"/>
    <w:rsid w:val="28133675"/>
    <w:rsid w:val="281C077C"/>
    <w:rsid w:val="28407C87"/>
    <w:rsid w:val="28870247"/>
    <w:rsid w:val="28A40771"/>
    <w:rsid w:val="28AF339E"/>
    <w:rsid w:val="28D21A73"/>
    <w:rsid w:val="28EC1B66"/>
    <w:rsid w:val="293A3A44"/>
    <w:rsid w:val="294A7691"/>
    <w:rsid w:val="296D5DFD"/>
    <w:rsid w:val="29C25353"/>
    <w:rsid w:val="29C27101"/>
    <w:rsid w:val="29CA4E9C"/>
    <w:rsid w:val="29D84B76"/>
    <w:rsid w:val="29E03ACC"/>
    <w:rsid w:val="29EE439A"/>
    <w:rsid w:val="29F319B0"/>
    <w:rsid w:val="2A0C4820"/>
    <w:rsid w:val="2A401CFE"/>
    <w:rsid w:val="2A67769C"/>
    <w:rsid w:val="2A687823"/>
    <w:rsid w:val="2A73664D"/>
    <w:rsid w:val="2A7974C7"/>
    <w:rsid w:val="2AB62EBA"/>
    <w:rsid w:val="2AB919E7"/>
    <w:rsid w:val="2B3E7BBE"/>
    <w:rsid w:val="2B606BD1"/>
    <w:rsid w:val="2B690AF6"/>
    <w:rsid w:val="2B8C79C6"/>
    <w:rsid w:val="2BB854E6"/>
    <w:rsid w:val="2BCA04EF"/>
    <w:rsid w:val="2BF64A0D"/>
    <w:rsid w:val="2C027C88"/>
    <w:rsid w:val="2C522974"/>
    <w:rsid w:val="2C81703F"/>
    <w:rsid w:val="2C9B349C"/>
    <w:rsid w:val="2CB43679"/>
    <w:rsid w:val="2CFA5FEA"/>
    <w:rsid w:val="2D46281C"/>
    <w:rsid w:val="2D4F0202"/>
    <w:rsid w:val="2D597D7C"/>
    <w:rsid w:val="2D65539B"/>
    <w:rsid w:val="2D783996"/>
    <w:rsid w:val="2D9E7E85"/>
    <w:rsid w:val="2DEC59F2"/>
    <w:rsid w:val="2DED531B"/>
    <w:rsid w:val="2DF31F7F"/>
    <w:rsid w:val="2DFA14EB"/>
    <w:rsid w:val="2E3B2361"/>
    <w:rsid w:val="2E5A1FFE"/>
    <w:rsid w:val="2E640D69"/>
    <w:rsid w:val="2E772BB0"/>
    <w:rsid w:val="2E785B29"/>
    <w:rsid w:val="2E9C319B"/>
    <w:rsid w:val="2EB86D24"/>
    <w:rsid w:val="2EF73CF0"/>
    <w:rsid w:val="2F01691D"/>
    <w:rsid w:val="2F1C080D"/>
    <w:rsid w:val="2F2A5E74"/>
    <w:rsid w:val="2F2C10EA"/>
    <w:rsid w:val="2F4862FA"/>
    <w:rsid w:val="2F530A2A"/>
    <w:rsid w:val="2F7B222C"/>
    <w:rsid w:val="2F8512FC"/>
    <w:rsid w:val="2F8F217B"/>
    <w:rsid w:val="2FA84FEB"/>
    <w:rsid w:val="2FD1009E"/>
    <w:rsid w:val="2FE83639"/>
    <w:rsid w:val="300A642C"/>
    <w:rsid w:val="300D4D50"/>
    <w:rsid w:val="30191A45"/>
    <w:rsid w:val="30367E2D"/>
    <w:rsid w:val="3038676C"/>
    <w:rsid w:val="30803872"/>
    <w:rsid w:val="30894E1C"/>
    <w:rsid w:val="3095731D"/>
    <w:rsid w:val="309968FF"/>
    <w:rsid w:val="310B3395"/>
    <w:rsid w:val="31216E03"/>
    <w:rsid w:val="3138414C"/>
    <w:rsid w:val="31684C0A"/>
    <w:rsid w:val="318D26EA"/>
    <w:rsid w:val="319869EC"/>
    <w:rsid w:val="31996EDA"/>
    <w:rsid w:val="31A55C86"/>
    <w:rsid w:val="31D04385"/>
    <w:rsid w:val="31D603F9"/>
    <w:rsid w:val="31E34C5F"/>
    <w:rsid w:val="31F96987"/>
    <w:rsid w:val="320B3F81"/>
    <w:rsid w:val="325024F0"/>
    <w:rsid w:val="32573D5E"/>
    <w:rsid w:val="327843EF"/>
    <w:rsid w:val="3287189E"/>
    <w:rsid w:val="328E2276"/>
    <w:rsid w:val="32945307"/>
    <w:rsid w:val="32D14858"/>
    <w:rsid w:val="33233306"/>
    <w:rsid w:val="33242BDA"/>
    <w:rsid w:val="335D7F00"/>
    <w:rsid w:val="336851BD"/>
    <w:rsid w:val="3382606F"/>
    <w:rsid w:val="33956713"/>
    <w:rsid w:val="33A34B33"/>
    <w:rsid w:val="33C93FAF"/>
    <w:rsid w:val="33DB773D"/>
    <w:rsid w:val="33ED253F"/>
    <w:rsid w:val="33FB393B"/>
    <w:rsid w:val="33FD5671"/>
    <w:rsid w:val="341964B7"/>
    <w:rsid w:val="34256C0A"/>
    <w:rsid w:val="34311A53"/>
    <w:rsid w:val="34592D57"/>
    <w:rsid w:val="346B6F40"/>
    <w:rsid w:val="34833930"/>
    <w:rsid w:val="34950710"/>
    <w:rsid w:val="34A96FDF"/>
    <w:rsid w:val="34B75703"/>
    <w:rsid w:val="34EF29C7"/>
    <w:rsid w:val="351A24E7"/>
    <w:rsid w:val="352670DE"/>
    <w:rsid w:val="357C3E1F"/>
    <w:rsid w:val="35A10512"/>
    <w:rsid w:val="35B2271F"/>
    <w:rsid w:val="360311CD"/>
    <w:rsid w:val="36211687"/>
    <w:rsid w:val="362F0F28"/>
    <w:rsid w:val="364E64D0"/>
    <w:rsid w:val="367937BA"/>
    <w:rsid w:val="36905B58"/>
    <w:rsid w:val="36BB3856"/>
    <w:rsid w:val="36CE5337"/>
    <w:rsid w:val="36D915ED"/>
    <w:rsid w:val="370648D4"/>
    <w:rsid w:val="370C5E5F"/>
    <w:rsid w:val="370D09F4"/>
    <w:rsid w:val="371F5B92"/>
    <w:rsid w:val="374B1719"/>
    <w:rsid w:val="375241BA"/>
    <w:rsid w:val="37661A13"/>
    <w:rsid w:val="37782EE9"/>
    <w:rsid w:val="37875B1D"/>
    <w:rsid w:val="379D2F5B"/>
    <w:rsid w:val="37C80710"/>
    <w:rsid w:val="37C91FA2"/>
    <w:rsid w:val="37D64A9E"/>
    <w:rsid w:val="37EA43F2"/>
    <w:rsid w:val="37F44571"/>
    <w:rsid w:val="3805122C"/>
    <w:rsid w:val="38521F98"/>
    <w:rsid w:val="386E6FD4"/>
    <w:rsid w:val="38D155B2"/>
    <w:rsid w:val="38FA47C4"/>
    <w:rsid w:val="38FA55F0"/>
    <w:rsid w:val="390A63CE"/>
    <w:rsid w:val="39367F40"/>
    <w:rsid w:val="393C0A40"/>
    <w:rsid w:val="393F251C"/>
    <w:rsid w:val="394915ED"/>
    <w:rsid w:val="394C65A2"/>
    <w:rsid w:val="39846181"/>
    <w:rsid w:val="39C24AFA"/>
    <w:rsid w:val="39D92970"/>
    <w:rsid w:val="39DD3AE3"/>
    <w:rsid w:val="3A004DB0"/>
    <w:rsid w:val="3A303716"/>
    <w:rsid w:val="3A43603C"/>
    <w:rsid w:val="3A685C51"/>
    <w:rsid w:val="3A8E5A96"/>
    <w:rsid w:val="3A9B5A66"/>
    <w:rsid w:val="3ABD5E1A"/>
    <w:rsid w:val="3AF347CD"/>
    <w:rsid w:val="3B04200D"/>
    <w:rsid w:val="3B1118FE"/>
    <w:rsid w:val="3B225C51"/>
    <w:rsid w:val="3B283844"/>
    <w:rsid w:val="3B3F2CA7"/>
    <w:rsid w:val="3B467EF4"/>
    <w:rsid w:val="3B4B4E96"/>
    <w:rsid w:val="3B5878C5"/>
    <w:rsid w:val="3B620744"/>
    <w:rsid w:val="3B8B2063"/>
    <w:rsid w:val="3B904E0B"/>
    <w:rsid w:val="3C137C90"/>
    <w:rsid w:val="3C812A0A"/>
    <w:rsid w:val="3CCF7A61"/>
    <w:rsid w:val="3D0870C9"/>
    <w:rsid w:val="3D11320B"/>
    <w:rsid w:val="3D1D51B9"/>
    <w:rsid w:val="3D436353"/>
    <w:rsid w:val="3D503F32"/>
    <w:rsid w:val="3D7F1A6F"/>
    <w:rsid w:val="3D99099F"/>
    <w:rsid w:val="3DB04076"/>
    <w:rsid w:val="3DEA67CE"/>
    <w:rsid w:val="3E220B16"/>
    <w:rsid w:val="3E436C98"/>
    <w:rsid w:val="3E4405D4"/>
    <w:rsid w:val="3E6B2B19"/>
    <w:rsid w:val="3E6B66CB"/>
    <w:rsid w:val="3EA21DDE"/>
    <w:rsid w:val="3EC17F7D"/>
    <w:rsid w:val="3EE947B1"/>
    <w:rsid w:val="3EEF0540"/>
    <w:rsid w:val="3F144212"/>
    <w:rsid w:val="3F1D4438"/>
    <w:rsid w:val="3F7C02D5"/>
    <w:rsid w:val="3FA209DD"/>
    <w:rsid w:val="3FCE45FA"/>
    <w:rsid w:val="3FDB0AC5"/>
    <w:rsid w:val="3FFD4EDF"/>
    <w:rsid w:val="4000052B"/>
    <w:rsid w:val="402D7572"/>
    <w:rsid w:val="404241AC"/>
    <w:rsid w:val="405F5252"/>
    <w:rsid w:val="40605D8E"/>
    <w:rsid w:val="40670B21"/>
    <w:rsid w:val="40783749"/>
    <w:rsid w:val="409C64A6"/>
    <w:rsid w:val="40BC08F6"/>
    <w:rsid w:val="40F462E2"/>
    <w:rsid w:val="41066FD2"/>
    <w:rsid w:val="41106CEB"/>
    <w:rsid w:val="412456A9"/>
    <w:rsid w:val="413D1A37"/>
    <w:rsid w:val="414C1C7A"/>
    <w:rsid w:val="41807B75"/>
    <w:rsid w:val="41BA78E6"/>
    <w:rsid w:val="41BC44FD"/>
    <w:rsid w:val="420A2862"/>
    <w:rsid w:val="421529FF"/>
    <w:rsid w:val="425D387A"/>
    <w:rsid w:val="429E4757"/>
    <w:rsid w:val="42FA7AAA"/>
    <w:rsid w:val="43140575"/>
    <w:rsid w:val="43311EAB"/>
    <w:rsid w:val="433230F1"/>
    <w:rsid w:val="43482915"/>
    <w:rsid w:val="43525542"/>
    <w:rsid w:val="43562E0F"/>
    <w:rsid w:val="43722011"/>
    <w:rsid w:val="437E1E93"/>
    <w:rsid w:val="4380041A"/>
    <w:rsid w:val="439F4D5E"/>
    <w:rsid w:val="43A55671"/>
    <w:rsid w:val="43AD2B7C"/>
    <w:rsid w:val="43EA066D"/>
    <w:rsid w:val="43F16B09"/>
    <w:rsid w:val="43FA3C0F"/>
    <w:rsid w:val="440C1747"/>
    <w:rsid w:val="4413082D"/>
    <w:rsid w:val="443B3A97"/>
    <w:rsid w:val="443F7874"/>
    <w:rsid w:val="44553D96"/>
    <w:rsid w:val="44705C7F"/>
    <w:rsid w:val="449A0F4E"/>
    <w:rsid w:val="44C32893"/>
    <w:rsid w:val="44C47D79"/>
    <w:rsid w:val="44D83CC0"/>
    <w:rsid w:val="44EE129A"/>
    <w:rsid w:val="450B3BFA"/>
    <w:rsid w:val="453C7189"/>
    <w:rsid w:val="453D6991"/>
    <w:rsid w:val="4543093B"/>
    <w:rsid w:val="45512C28"/>
    <w:rsid w:val="456541A3"/>
    <w:rsid w:val="45703A5D"/>
    <w:rsid w:val="4588524B"/>
    <w:rsid w:val="45887817"/>
    <w:rsid w:val="45CE5353"/>
    <w:rsid w:val="45DA0A2D"/>
    <w:rsid w:val="46050649"/>
    <w:rsid w:val="462F56C6"/>
    <w:rsid w:val="463F426D"/>
    <w:rsid w:val="46731A57"/>
    <w:rsid w:val="46B53E1D"/>
    <w:rsid w:val="47040901"/>
    <w:rsid w:val="470B7EE1"/>
    <w:rsid w:val="473236C0"/>
    <w:rsid w:val="47777325"/>
    <w:rsid w:val="479B545C"/>
    <w:rsid w:val="47A70BCC"/>
    <w:rsid w:val="47B81710"/>
    <w:rsid w:val="47D81597"/>
    <w:rsid w:val="47F40975"/>
    <w:rsid w:val="48030BB8"/>
    <w:rsid w:val="48422E23"/>
    <w:rsid w:val="485F32C8"/>
    <w:rsid w:val="486E0728"/>
    <w:rsid w:val="487321E2"/>
    <w:rsid w:val="489B7043"/>
    <w:rsid w:val="48A80C4F"/>
    <w:rsid w:val="48E22EC4"/>
    <w:rsid w:val="48E53CAD"/>
    <w:rsid w:val="48E54030"/>
    <w:rsid w:val="490164DD"/>
    <w:rsid w:val="491C0184"/>
    <w:rsid w:val="498D72D3"/>
    <w:rsid w:val="49AC57C9"/>
    <w:rsid w:val="49BB3D1C"/>
    <w:rsid w:val="49F27137"/>
    <w:rsid w:val="4A2117CA"/>
    <w:rsid w:val="4A361719"/>
    <w:rsid w:val="4A4200BE"/>
    <w:rsid w:val="4A651E36"/>
    <w:rsid w:val="4A745CF0"/>
    <w:rsid w:val="4A8C5873"/>
    <w:rsid w:val="4A8F0E29"/>
    <w:rsid w:val="4AA20B5D"/>
    <w:rsid w:val="4AB53DCB"/>
    <w:rsid w:val="4ADA02F6"/>
    <w:rsid w:val="4AF17593"/>
    <w:rsid w:val="4AF879DB"/>
    <w:rsid w:val="4B0D06CC"/>
    <w:rsid w:val="4B2C48CA"/>
    <w:rsid w:val="4B3A6FE7"/>
    <w:rsid w:val="4B441C14"/>
    <w:rsid w:val="4B4C4DB7"/>
    <w:rsid w:val="4B5300A9"/>
    <w:rsid w:val="4B841AC8"/>
    <w:rsid w:val="4B8E2D0E"/>
    <w:rsid w:val="4B9B6F7C"/>
    <w:rsid w:val="4BCE14DD"/>
    <w:rsid w:val="4BDE3E16"/>
    <w:rsid w:val="4BE40D01"/>
    <w:rsid w:val="4C1E22DB"/>
    <w:rsid w:val="4C1F791E"/>
    <w:rsid w:val="4C215005"/>
    <w:rsid w:val="4C303F46"/>
    <w:rsid w:val="4C4B0D80"/>
    <w:rsid w:val="4C72305B"/>
    <w:rsid w:val="4C746B81"/>
    <w:rsid w:val="4C7C2083"/>
    <w:rsid w:val="4C9D3E37"/>
    <w:rsid w:val="4C9F50F3"/>
    <w:rsid w:val="4CF40A89"/>
    <w:rsid w:val="4D111FCA"/>
    <w:rsid w:val="4D1675E0"/>
    <w:rsid w:val="4D3B6E2B"/>
    <w:rsid w:val="4D3E776C"/>
    <w:rsid w:val="4D5325E2"/>
    <w:rsid w:val="4D8409ED"/>
    <w:rsid w:val="4D976CA0"/>
    <w:rsid w:val="4DB43081"/>
    <w:rsid w:val="4DC448AE"/>
    <w:rsid w:val="4E121B55"/>
    <w:rsid w:val="4E413ABE"/>
    <w:rsid w:val="4E5403C0"/>
    <w:rsid w:val="4E5D5799"/>
    <w:rsid w:val="4E604FB7"/>
    <w:rsid w:val="4E7E0CDE"/>
    <w:rsid w:val="4E7E368F"/>
    <w:rsid w:val="4EEC23A6"/>
    <w:rsid w:val="4EEE4E4C"/>
    <w:rsid w:val="4F506DD9"/>
    <w:rsid w:val="4F7E443C"/>
    <w:rsid w:val="4F7E6F61"/>
    <w:rsid w:val="4F8016F7"/>
    <w:rsid w:val="4FA42C81"/>
    <w:rsid w:val="4FB35C00"/>
    <w:rsid w:val="4FBE01E7"/>
    <w:rsid w:val="4FCD667C"/>
    <w:rsid w:val="4FE1418E"/>
    <w:rsid w:val="500F388E"/>
    <w:rsid w:val="5023629C"/>
    <w:rsid w:val="503244AF"/>
    <w:rsid w:val="505226DD"/>
    <w:rsid w:val="50680152"/>
    <w:rsid w:val="50770396"/>
    <w:rsid w:val="507A2558"/>
    <w:rsid w:val="50AC1A7B"/>
    <w:rsid w:val="50D83E3D"/>
    <w:rsid w:val="50E772C9"/>
    <w:rsid w:val="5112400B"/>
    <w:rsid w:val="51181E38"/>
    <w:rsid w:val="51346287"/>
    <w:rsid w:val="516E68F7"/>
    <w:rsid w:val="51772172"/>
    <w:rsid w:val="51963A64"/>
    <w:rsid w:val="51A451BA"/>
    <w:rsid w:val="51A554F3"/>
    <w:rsid w:val="51C94C21"/>
    <w:rsid w:val="51CE0489"/>
    <w:rsid w:val="51D81308"/>
    <w:rsid w:val="51DB7E62"/>
    <w:rsid w:val="520902B1"/>
    <w:rsid w:val="523429E2"/>
    <w:rsid w:val="52374280"/>
    <w:rsid w:val="52473A46"/>
    <w:rsid w:val="526D112B"/>
    <w:rsid w:val="526E602F"/>
    <w:rsid w:val="52E973F0"/>
    <w:rsid w:val="53400F13"/>
    <w:rsid w:val="536C1D08"/>
    <w:rsid w:val="53BF000B"/>
    <w:rsid w:val="53D33BEA"/>
    <w:rsid w:val="5435659E"/>
    <w:rsid w:val="54372316"/>
    <w:rsid w:val="54425643"/>
    <w:rsid w:val="54484523"/>
    <w:rsid w:val="54492049"/>
    <w:rsid w:val="544A62FE"/>
    <w:rsid w:val="544D1B39"/>
    <w:rsid w:val="54815C87"/>
    <w:rsid w:val="54877C3A"/>
    <w:rsid w:val="5493315D"/>
    <w:rsid w:val="549E05E7"/>
    <w:rsid w:val="54B43966"/>
    <w:rsid w:val="54CC6255"/>
    <w:rsid w:val="54D47B64"/>
    <w:rsid w:val="54D976F1"/>
    <w:rsid w:val="551E34D6"/>
    <w:rsid w:val="55380A6F"/>
    <w:rsid w:val="55894DF3"/>
    <w:rsid w:val="55D02A22"/>
    <w:rsid w:val="55F71D4E"/>
    <w:rsid w:val="5609242B"/>
    <w:rsid w:val="565A29E4"/>
    <w:rsid w:val="565E627F"/>
    <w:rsid w:val="567D0BF2"/>
    <w:rsid w:val="56BC3274"/>
    <w:rsid w:val="56CD6F61"/>
    <w:rsid w:val="56E003F0"/>
    <w:rsid w:val="56E85B49"/>
    <w:rsid w:val="56F02C50"/>
    <w:rsid w:val="56FC4E05"/>
    <w:rsid w:val="571406EC"/>
    <w:rsid w:val="571A1A7B"/>
    <w:rsid w:val="57330271"/>
    <w:rsid w:val="575B631B"/>
    <w:rsid w:val="578650EA"/>
    <w:rsid w:val="578C0BCA"/>
    <w:rsid w:val="578C790A"/>
    <w:rsid w:val="57AF48B9"/>
    <w:rsid w:val="57E9601D"/>
    <w:rsid w:val="57F56770"/>
    <w:rsid w:val="580B5F93"/>
    <w:rsid w:val="58421289"/>
    <w:rsid w:val="584274DB"/>
    <w:rsid w:val="585D4315"/>
    <w:rsid w:val="5866141B"/>
    <w:rsid w:val="587C0C3F"/>
    <w:rsid w:val="587F6039"/>
    <w:rsid w:val="58831FCD"/>
    <w:rsid w:val="588505DD"/>
    <w:rsid w:val="5886561A"/>
    <w:rsid w:val="58A14202"/>
    <w:rsid w:val="58CA71D5"/>
    <w:rsid w:val="58D2260D"/>
    <w:rsid w:val="58EB32E9"/>
    <w:rsid w:val="58ED38EB"/>
    <w:rsid w:val="591F15CA"/>
    <w:rsid w:val="596140AC"/>
    <w:rsid w:val="596A2DED"/>
    <w:rsid w:val="596B7351"/>
    <w:rsid w:val="597F4082"/>
    <w:rsid w:val="59A044B9"/>
    <w:rsid w:val="59A33FA9"/>
    <w:rsid w:val="59E35ABE"/>
    <w:rsid w:val="59E56370"/>
    <w:rsid w:val="59F445C0"/>
    <w:rsid w:val="59F667CF"/>
    <w:rsid w:val="5A492DA3"/>
    <w:rsid w:val="5A56101C"/>
    <w:rsid w:val="5A656C27"/>
    <w:rsid w:val="5A663955"/>
    <w:rsid w:val="5AA74F2A"/>
    <w:rsid w:val="5AB53D42"/>
    <w:rsid w:val="5ACF047F"/>
    <w:rsid w:val="5AD22D98"/>
    <w:rsid w:val="5AF30F60"/>
    <w:rsid w:val="5AFE3B8D"/>
    <w:rsid w:val="5AFE5E40"/>
    <w:rsid w:val="5B184523"/>
    <w:rsid w:val="5B24736C"/>
    <w:rsid w:val="5B2D1165"/>
    <w:rsid w:val="5B3E21DC"/>
    <w:rsid w:val="5B4D69D6"/>
    <w:rsid w:val="5B541C60"/>
    <w:rsid w:val="5B6F6839"/>
    <w:rsid w:val="5B6F6F3D"/>
    <w:rsid w:val="5B7026CB"/>
    <w:rsid w:val="5B7C2D04"/>
    <w:rsid w:val="5BC00E43"/>
    <w:rsid w:val="5BF63CB2"/>
    <w:rsid w:val="5C02145B"/>
    <w:rsid w:val="5C0276AD"/>
    <w:rsid w:val="5C152D63"/>
    <w:rsid w:val="5C25339C"/>
    <w:rsid w:val="5C5D2B35"/>
    <w:rsid w:val="5C806824"/>
    <w:rsid w:val="5CA11965"/>
    <w:rsid w:val="5CB564CD"/>
    <w:rsid w:val="5CE11290"/>
    <w:rsid w:val="5CF42FA1"/>
    <w:rsid w:val="5D123920"/>
    <w:rsid w:val="5D184CAE"/>
    <w:rsid w:val="5D1F7DEB"/>
    <w:rsid w:val="5D6A375C"/>
    <w:rsid w:val="5D6E0490"/>
    <w:rsid w:val="5DDC5CDC"/>
    <w:rsid w:val="5E2D5354"/>
    <w:rsid w:val="5E6B6091"/>
    <w:rsid w:val="5E7118CD"/>
    <w:rsid w:val="5E7F3237"/>
    <w:rsid w:val="5E8819C0"/>
    <w:rsid w:val="5EB86749"/>
    <w:rsid w:val="5EDF4959"/>
    <w:rsid w:val="5EF1642F"/>
    <w:rsid w:val="5F4B136B"/>
    <w:rsid w:val="5F63740C"/>
    <w:rsid w:val="5F8A1E93"/>
    <w:rsid w:val="5FBB4625"/>
    <w:rsid w:val="5FBF1411"/>
    <w:rsid w:val="5FDF3861"/>
    <w:rsid w:val="5FFB671F"/>
    <w:rsid w:val="60023928"/>
    <w:rsid w:val="601C4E3E"/>
    <w:rsid w:val="603F0DA5"/>
    <w:rsid w:val="609416BA"/>
    <w:rsid w:val="609B1DAE"/>
    <w:rsid w:val="60F71C58"/>
    <w:rsid w:val="60FF065F"/>
    <w:rsid w:val="61016185"/>
    <w:rsid w:val="616F7EFA"/>
    <w:rsid w:val="61774C2E"/>
    <w:rsid w:val="61A82AA5"/>
    <w:rsid w:val="61B02C24"/>
    <w:rsid w:val="624A3B5C"/>
    <w:rsid w:val="624F6027"/>
    <w:rsid w:val="629161B7"/>
    <w:rsid w:val="62AA4A4C"/>
    <w:rsid w:val="62B66AFB"/>
    <w:rsid w:val="62FB3B37"/>
    <w:rsid w:val="630E2DDB"/>
    <w:rsid w:val="63141A74"/>
    <w:rsid w:val="631B0EB4"/>
    <w:rsid w:val="632559CA"/>
    <w:rsid w:val="632B573B"/>
    <w:rsid w:val="632F744C"/>
    <w:rsid w:val="63BF7C32"/>
    <w:rsid w:val="63C15E6F"/>
    <w:rsid w:val="63D86F45"/>
    <w:rsid w:val="63F0139C"/>
    <w:rsid w:val="64653A08"/>
    <w:rsid w:val="646C0EAF"/>
    <w:rsid w:val="64714514"/>
    <w:rsid w:val="648C6900"/>
    <w:rsid w:val="648D7D30"/>
    <w:rsid w:val="64936BDE"/>
    <w:rsid w:val="649C7F73"/>
    <w:rsid w:val="64BB2C51"/>
    <w:rsid w:val="64BC23C3"/>
    <w:rsid w:val="64D04F6A"/>
    <w:rsid w:val="650A5824"/>
    <w:rsid w:val="651E63E0"/>
    <w:rsid w:val="65377CCF"/>
    <w:rsid w:val="65634932"/>
    <w:rsid w:val="657316DE"/>
    <w:rsid w:val="657C227E"/>
    <w:rsid w:val="65A11CE5"/>
    <w:rsid w:val="65B30D0E"/>
    <w:rsid w:val="65B94C89"/>
    <w:rsid w:val="65C50BEA"/>
    <w:rsid w:val="66305393"/>
    <w:rsid w:val="663312AC"/>
    <w:rsid w:val="664D7777"/>
    <w:rsid w:val="664E1367"/>
    <w:rsid w:val="666E66C0"/>
    <w:rsid w:val="666F3B91"/>
    <w:rsid w:val="6672542F"/>
    <w:rsid w:val="667C005C"/>
    <w:rsid w:val="668C4743"/>
    <w:rsid w:val="669A28D2"/>
    <w:rsid w:val="66AF38DA"/>
    <w:rsid w:val="66EA76BB"/>
    <w:rsid w:val="671C2DEE"/>
    <w:rsid w:val="67476815"/>
    <w:rsid w:val="674D37A6"/>
    <w:rsid w:val="678A67A9"/>
    <w:rsid w:val="67FF1C3C"/>
    <w:rsid w:val="6808604B"/>
    <w:rsid w:val="681937AD"/>
    <w:rsid w:val="6828049B"/>
    <w:rsid w:val="683002AF"/>
    <w:rsid w:val="683A1C10"/>
    <w:rsid w:val="687C2357"/>
    <w:rsid w:val="68C33D20"/>
    <w:rsid w:val="68FB334D"/>
    <w:rsid w:val="68FD17E1"/>
    <w:rsid w:val="69112CDD"/>
    <w:rsid w:val="691E4FA4"/>
    <w:rsid w:val="692D1AE1"/>
    <w:rsid w:val="69366BE8"/>
    <w:rsid w:val="695B28DF"/>
    <w:rsid w:val="698B7E8E"/>
    <w:rsid w:val="69BD2E65"/>
    <w:rsid w:val="69F26F4E"/>
    <w:rsid w:val="69F525FF"/>
    <w:rsid w:val="6A15384A"/>
    <w:rsid w:val="6A1567FD"/>
    <w:rsid w:val="6A332842"/>
    <w:rsid w:val="6A33620D"/>
    <w:rsid w:val="6A5B1809"/>
    <w:rsid w:val="6AA858C3"/>
    <w:rsid w:val="6AA9731B"/>
    <w:rsid w:val="6AB948CF"/>
    <w:rsid w:val="6AC67AF8"/>
    <w:rsid w:val="6AFA0702"/>
    <w:rsid w:val="6B054AC4"/>
    <w:rsid w:val="6B1271E1"/>
    <w:rsid w:val="6B4B7808"/>
    <w:rsid w:val="6BB94793"/>
    <w:rsid w:val="6BDC4F2F"/>
    <w:rsid w:val="6BE7549F"/>
    <w:rsid w:val="6BFB5EC7"/>
    <w:rsid w:val="6C133141"/>
    <w:rsid w:val="6C263C95"/>
    <w:rsid w:val="6C3468B4"/>
    <w:rsid w:val="6C5A67BA"/>
    <w:rsid w:val="6C64581A"/>
    <w:rsid w:val="6C6B4318"/>
    <w:rsid w:val="6C6B6BA9"/>
    <w:rsid w:val="6C7C5BCA"/>
    <w:rsid w:val="6C7C73C6"/>
    <w:rsid w:val="6C81017A"/>
    <w:rsid w:val="6C885870"/>
    <w:rsid w:val="6CAE098B"/>
    <w:rsid w:val="6CFA1CDB"/>
    <w:rsid w:val="6D0A63C2"/>
    <w:rsid w:val="6D0B2CA4"/>
    <w:rsid w:val="6D1234C8"/>
    <w:rsid w:val="6D262AD0"/>
    <w:rsid w:val="6D286136"/>
    <w:rsid w:val="6D592EA5"/>
    <w:rsid w:val="6D77157D"/>
    <w:rsid w:val="6D943EDD"/>
    <w:rsid w:val="6D9E2FAE"/>
    <w:rsid w:val="6DD04554"/>
    <w:rsid w:val="6E1A76D8"/>
    <w:rsid w:val="6E315285"/>
    <w:rsid w:val="6E487E08"/>
    <w:rsid w:val="6E4C40C6"/>
    <w:rsid w:val="6E52553A"/>
    <w:rsid w:val="6E787E7C"/>
    <w:rsid w:val="6E841796"/>
    <w:rsid w:val="6E867CCA"/>
    <w:rsid w:val="6EBB453D"/>
    <w:rsid w:val="6EBD6817"/>
    <w:rsid w:val="6EDC3D8E"/>
    <w:rsid w:val="6EE70524"/>
    <w:rsid w:val="6EF838BF"/>
    <w:rsid w:val="6EFE1F56"/>
    <w:rsid w:val="6F190B3E"/>
    <w:rsid w:val="6F5477A4"/>
    <w:rsid w:val="6F5B1156"/>
    <w:rsid w:val="6F997ED1"/>
    <w:rsid w:val="6F9A1D4E"/>
    <w:rsid w:val="6FA0300D"/>
    <w:rsid w:val="6FB75665"/>
    <w:rsid w:val="6FD93429"/>
    <w:rsid w:val="6FDF33D2"/>
    <w:rsid w:val="6FDF6BAA"/>
    <w:rsid w:val="6FEA4E6B"/>
    <w:rsid w:val="70170E9B"/>
    <w:rsid w:val="702E686B"/>
    <w:rsid w:val="707324D0"/>
    <w:rsid w:val="70B30B1E"/>
    <w:rsid w:val="70B477E5"/>
    <w:rsid w:val="70DD3DED"/>
    <w:rsid w:val="70E07C80"/>
    <w:rsid w:val="70F829D5"/>
    <w:rsid w:val="710B7400"/>
    <w:rsid w:val="7111201F"/>
    <w:rsid w:val="711C1FCF"/>
    <w:rsid w:val="712544A4"/>
    <w:rsid w:val="714B51FB"/>
    <w:rsid w:val="716D5171"/>
    <w:rsid w:val="717464FF"/>
    <w:rsid w:val="71C65174"/>
    <w:rsid w:val="72021D5D"/>
    <w:rsid w:val="721B0177"/>
    <w:rsid w:val="72677E12"/>
    <w:rsid w:val="726C18CA"/>
    <w:rsid w:val="727662A7"/>
    <w:rsid w:val="72A42414"/>
    <w:rsid w:val="72B85783"/>
    <w:rsid w:val="72B9189F"/>
    <w:rsid w:val="72C911AE"/>
    <w:rsid w:val="730D6C0C"/>
    <w:rsid w:val="732B0C72"/>
    <w:rsid w:val="73467D1B"/>
    <w:rsid w:val="735E7467"/>
    <w:rsid w:val="738D1DDB"/>
    <w:rsid w:val="73CA68AB"/>
    <w:rsid w:val="73FB331A"/>
    <w:rsid w:val="74113206"/>
    <w:rsid w:val="7413727B"/>
    <w:rsid w:val="741944E5"/>
    <w:rsid w:val="741D664D"/>
    <w:rsid w:val="74542004"/>
    <w:rsid w:val="745C5C73"/>
    <w:rsid w:val="74BE334F"/>
    <w:rsid w:val="74D80B53"/>
    <w:rsid w:val="755E374E"/>
    <w:rsid w:val="7586512B"/>
    <w:rsid w:val="75912582"/>
    <w:rsid w:val="75CA1ADA"/>
    <w:rsid w:val="75CD2682"/>
    <w:rsid w:val="75D05145"/>
    <w:rsid w:val="76563F0D"/>
    <w:rsid w:val="766B74A6"/>
    <w:rsid w:val="768D1215"/>
    <w:rsid w:val="769A11EA"/>
    <w:rsid w:val="76C40CB2"/>
    <w:rsid w:val="76D57E74"/>
    <w:rsid w:val="7709797A"/>
    <w:rsid w:val="777F4D7E"/>
    <w:rsid w:val="77A72B11"/>
    <w:rsid w:val="77D171AC"/>
    <w:rsid w:val="77E254B5"/>
    <w:rsid w:val="77F57C6E"/>
    <w:rsid w:val="78076A7A"/>
    <w:rsid w:val="786A240A"/>
    <w:rsid w:val="78727511"/>
    <w:rsid w:val="78986F77"/>
    <w:rsid w:val="78B6564F"/>
    <w:rsid w:val="78BD1C1F"/>
    <w:rsid w:val="78CF58B9"/>
    <w:rsid w:val="78E75809"/>
    <w:rsid w:val="78EE303B"/>
    <w:rsid w:val="79030169"/>
    <w:rsid w:val="79425135"/>
    <w:rsid w:val="79481E1F"/>
    <w:rsid w:val="794A5D98"/>
    <w:rsid w:val="794F5DED"/>
    <w:rsid w:val="796C3F60"/>
    <w:rsid w:val="796D42EE"/>
    <w:rsid w:val="7973709D"/>
    <w:rsid w:val="79B22100"/>
    <w:rsid w:val="79DF7402"/>
    <w:rsid w:val="79E87A8A"/>
    <w:rsid w:val="79F9636C"/>
    <w:rsid w:val="7A0D74F1"/>
    <w:rsid w:val="7A18051B"/>
    <w:rsid w:val="7A5F18EB"/>
    <w:rsid w:val="7A9C0875"/>
    <w:rsid w:val="7ABB1159"/>
    <w:rsid w:val="7AC06311"/>
    <w:rsid w:val="7AF364EE"/>
    <w:rsid w:val="7B073F40"/>
    <w:rsid w:val="7B4C5DF7"/>
    <w:rsid w:val="7B8B7698"/>
    <w:rsid w:val="7B9B36C4"/>
    <w:rsid w:val="7BEE2412"/>
    <w:rsid w:val="7C136915"/>
    <w:rsid w:val="7C321491"/>
    <w:rsid w:val="7C86183C"/>
    <w:rsid w:val="7CB93960"/>
    <w:rsid w:val="7CC12507"/>
    <w:rsid w:val="7CC872D0"/>
    <w:rsid w:val="7CC876FF"/>
    <w:rsid w:val="7CD12799"/>
    <w:rsid w:val="7CD52546"/>
    <w:rsid w:val="7D0626CF"/>
    <w:rsid w:val="7D140425"/>
    <w:rsid w:val="7D1960E7"/>
    <w:rsid w:val="7D24558E"/>
    <w:rsid w:val="7D3E7617"/>
    <w:rsid w:val="7D731D61"/>
    <w:rsid w:val="7D796C4C"/>
    <w:rsid w:val="7DBF4FA6"/>
    <w:rsid w:val="7DCC0A06"/>
    <w:rsid w:val="7E052969"/>
    <w:rsid w:val="7E0B1F99"/>
    <w:rsid w:val="7E3538F2"/>
    <w:rsid w:val="7E7B31DC"/>
    <w:rsid w:val="7EA5419C"/>
    <w:rsid w:val="7EAA3560"/>
    <w:rsid w:val="7EAF0B77"/>
    <w:rsid w:val="7EC97525"/>
    <w:rsid w:val="7ECD3ABB"/>
    <w:rsid w:val="7ED21514"/>
    <w:rsid w:val="7F121106"/>
    <w:rsid w:val="7F3B5318"/>
    <w:rsid w:val="7F4F5EB6"/>
    <w:rsid w:val="7F7D7D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0" w:semiHidden="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5"/>
    <w:qFormat/>
    <w:uiPriority w:val="0"/>
    <w:pPr>
      <w:keepNext/>
      <w:keepLines/>
      <w:spacing w:before="340" w:after="330" w:line="576" w:lineRule="auto"/>
      <w:jc w:val="center"/>
      <w:outlineLvl w:val="0"/>
    </w:pPr>
    <w:rPr>
      <w:rFonts w:eastAsia="黑体"/>
      <w:b/>
      <w:kern w:val="44"/>
      <w:sz w:val="36"/>
    </w:rPr>
  </w:style>
  <w:style w:type="paragraph" w:styleId="4">
    <w:name w:val="heading 2"/>
    <w:basedOn w:val="1"/>
    <w:next w:val="1"/>
    <w:link w:val="56"/>
    <w:qFormat/>
    <w:uiPriority w:val="0"/>
    <w:pPr>
      <w:keepNext/>
      <w:keepLines/>
      <w:spacing w:before="260" w:after="260" w:line="413" w:lineRule="auto"/>
      <w:jc w:val="center"/>
      <w:outlineLvl w:val="1"/>
    </w:pPr>
    <w:rPr>
      <w:rFonts w:ascii="CG Times" w:hAnsi="CG Times"/>
      <w:b/>
      <w:sz w:val="30"/>
    </w:rPr>
  </w:style>
  <w:style w:type="paragraph" w:styleId="5">
    <w:name w:val="heading 3"/>
    <w:basedOn w:val="1"/>
    <w:next w:val="1"/>
    <w:qFormat/>
    <w:uiPriority w:val="0"/>
    <w:pPr>
      <w:keepNext/>
      <w:keepLines/>
      <w:numPr>
        <w:ilvl w:val="0"/>
        <w:numId w:val="1"/>
      </w:numPr>
      <w:tabs>
        <w:tab w:val="left" w:pos="5852"/>
        <w:tab w:val="clear" w:pos="425"/>
      </w:tabs>
      <w:snapToGrid w:val="0"/>
      <w:spacing w:before="360" w:line="240" w:lineRule="exact"/>
      <w:outlineLvl w:val="2"/>
    </w:pPr>
    <w:rPr>
      <w:b/>
      <w:sz w:val="28"/>
    </w:rPr>
  </w:style>
  <w:style w:type="paragraph" w:styleId="6">
    <w:name w:val="heading 4"/>
    <w:basedOn w:val="1"/>
    <w:next w:val="1"/>
    <w:qFormat/>
    <w:uiPriority w:val="0"/>
    <w:pPr>
      <w:keepNext/>
      <w:keepLines/>
      <w:tabs>
        <w:tab w:val="left" w:pos="425"/>
      </w:tabs>
      <w:spacing w:before="360" w:line="240" w:lineRule="exact"/>
      <w:ind w:left="425" w:hanging="425"/>
      <w:outlineLvl w:val="3"/>
    </w:pPr>
    <w:rPr>
      <w:rFonts w:ascii="宋体"/>
      <w:b/>
      <w:sz w:val="28"/>
    </w:rPr>
  </w:style>
  <w:style w:type="paragraph" w:styleId="7">
    <w:name w:val="heading 5"/>
    <w:basedOn w:val="1"/>
    <w:next w:val="1"/>
    <w:qFormat/>
    <w:uiPriority w:val="0"/>
    <w:pPr>
      <w:keepNext/>
      <w:keepLines/>
      <w:spacing w:before="280" w:after="290" w:line="372" w:lineRule="auto"/>
      <w:outlineLvl w:val="4"/>
    </w:pPr>
    <w:rPr>
      <w:b/>
      <w:sz w:val="28"/>
    </w:rPr>
  </w:style>
  <w:style w:type="paragraph" w:styleId="8">
    <w:name w:val="heading 6"/>
    <w:basedOn w:val="1"/>
    <w:next w:val="9"/>
    <w:qFormat/>
    <w:uiPriority w:val="0"/>
    <w:pPr>
      <w:keepNext/>
      <w:keepLines/>
      <w:spacing w:before="240" w:after="64" w:line="317" w:lineRule="auto"/>
      <w:outlineLvl w:val="5"/>
    </w:pPr>
    <w:rPr>
      <w:rFonts w:ascii="Arial" w:hAnsi="Arial" w:eastAsia="黑体"/>
      <w:b/>
      <w:sz w:val="24"/>
    </w:rPr>
  </w:style>
  <w:style w:type="paragraph" w:styleId="10">
    <w:name w:val="heading 7"/>
    <w:basedOn w:val="1"/>
    <w:next w:val="9"/>
    <w:qFormat/>
    <w:uiPriority w:val="0"/>
    <w:pPr>
      <w:keepNext/>
      <w:keepLines/>
      <w:spacing w:before="240" w:after="64" w:line="317" w:lineRule="auto"/>
      <w:outlineLvl w:val="6"/>
    </w:pPr>
    <w:rPr>
      <w:b/>
      <w:sz w:val="24"/>
    </w:rPr>
  </w:style>
  <w:style w:type="paragraph" w:styleId="11">
    <w:name w:val="heading 8"/>
    <w:basedOn w:val="1"/>
    <w:next w:val="9"/>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9"/>
    <w:qFormat/>
    <w:uiPriority w:val="0"/>
    <w:pPr>
      <w:keepNext/>
      <w:keepLines/>
      <w:spacing w:before="240" w:after="64" w:line="317"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rPr>
  </w:style>
  <w:style w:type="paragraph" w:styleId="9">
    <w:name w:val="Normal Indent"/>
    <w:basedOn w:val="1"/>
    <w:link w:val="57"/>
    <w:qFormat/>
    <w:uiPriority w:val="0"/>
    <w:pPr>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List Bullet 3"/>
    <w:basedOn w:val="1"/>
    <w:qFormat/>
    <w:uiPriority w:val="0"/>
    <w:pPr>
      <w:widowControl/>
      <w:numPr>
        <w:ilvl w:val="0"/>
        <w:numId w:val="2"/>
      </w:numPr>
      <w:jc w:val="left"/>
    </w:pPr>
    <w:rPr>
      <w:kern w:val="0"/>
      <w:sz w:val="20"/>
      <w:lang w:eastAsia="en-US"/>
    </w:rPr>
  </w:style>
  <w:style w:type="paragraph" w:styleId="16">
    <w:name w:val="Body Text"/>
    <w:basedOn w:val="1"/>
    <w:link w:val="54"/>
    <w:qFormat/>
    <w:uiPriority w:val="0"/>
    <w:pPr>
      <w:spacing w:line="380" w:lineRule="exact"/>
    </w:pPr>
    <w:rPr>
      <w:sz w:val="24"/>
    </w:rPr>
  </w:style>
  <w:style w:type="paragraph" w:styleId="17">
    <w:name w:val="Body Text Indent"/>
    <w:basedOn w:val="1"/>
    <w:qFormat/>
    <w:uiPriority w:val="0"/>
    <w:pPr>
      <w:ind w:firstLine="627"/>
    </w:pPr>
    <w:rPr>
      <w:sz w:val="28"/>
    </w:rPr>
  </w:style>
  <w:style w:type="paragraph" w:styleId="18">
    <w:name w:val="HTML Address"/>
    <w:basedOn w:val="1"/>
    <w:qFormat/>
    <w:uiPriority w:val="0"/>
    <w:rPr>
      <w:i/>
      <w:iCs/>
      <w:szCs w:val="24"/>
    </w:rPr>
  </w:style>
  <w:style w:type="paragraph" w:styleId="19">
    <w:name w:val="toc 3"/>
    <w:basedOn w:val="1"/>
    <w:next w:val="1"/>
    <w:qFormat/>
    <w:uiPriority w:val="0"/>
    <w:pPr>
      <w:ind w:left="840" w:leftChars="400"/>
    </w:pPr>
    <w:rPr>
      <w:szCs w:val="24"/>
    </w:rPr>
  </w:style>
  <w:style w:type="paragraph" w:styleId="20">
    <w:name w:val="Plain Text"/>
    <w:basedOn w:val="1"/>
    <w:link w:val="58"/>
    <w:qFormat/>
    <w:uiPriority w:val="0"/>
    <w:rPr>
      <w:rFonts w:ascii="宋体" w:hAnsi="Courier New"/>
    </w:rPr>
  </w:style>
  <w:style w:type="paragraph" w:styleId="21">
    <w:name w:val="Date"/>
    <w:basedOn w:val="1"/>
    <w:next w:val="1"/>
    <w:qFormat/>
    <w:uiPriority w:val="0"/>
    <w:pPr>
      <w:widowControl/>
    </w:pPr>
    <w:rPr>
      <w:rFonts w:ascii="宋体" w:hAnsi="Courier New"/>
      <w:sz w:val="28"/>
    </w:rPr>
  </w:style>
  <w:style w:type="paragraph" w:styleId="22">
    <w:name w:val="Body Text Indent 2"/>
    <w:basedOn w:val="1"/>
    <w:qFormat/>
    <w:uiPriority w:val="0"/>
    <w:pPr>
      <w:spacing w:line="600" w:lineRule="exact"/>
      <w:ind w:firstLine="285"/>
    </w:pPr>
    <w:rPr>
      <w:rFonts w:ascii="宋体"/>
      <w:sz w:val="28"/>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style>
  <w:style w:type="paragraph" w:styleId="27">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28">
    <w:name w:val="footnote text"/>
    <w:basedOn w:val="1"/>
    <w:semiHidden/>
    <w:qFormat/>
    <w:uiPriority w:val="0"/>
    <w:pPr>
      <w:snapToGrid w:val="0"/>
      <w:jc w:val="left"/>
    </w:pPr>
    <w:rPr>
      <w:sz w:val="18"/>
      <w:szCs w:val="18"/>
    </w:rPr>
  </w:style>
  <w:style w:type="paragraph" w:styleId="29">
    <w:name w:val="Body Text Indent 3"/>
    <w:basedOn w:val="1"/>
    <w:qFormat/>
    <w:uiPriority w:val="0"/>
    <w:pPr>
      <w:spacing w:line="400" w:lineRule="exact"/>
      <w:ind w:firstLine="482" w:firstLineChars="200"/>
    </w:pPr>
    <w:rPr>
      <w:rFonts w:ascii="_x000B__x000C_" w:hAnsi="_x000B__x000C_" w:eastAsia="仿宋_GB2312"/>
      <w:b/>
      <w:sz w:val="24"/>
    </w:rPr>
  </w:style>
  <w:style w:type="paragraph" w:styleId="30">
    <w:name w:val="toc 2"/>
    <w:basedOn w:val="1"/>
    <w:next w:val="1"/>
    <w:qFormat/>
    <w:uiPriority w:val="0"/>
    <w:pPr>
      <w:ind w:left="420" w:leftChars="200"/>
    </w:pPr>
  </w:style>
  <w:style w:type="paragraph" w:styleId="3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2">
    <w:name w:val="Normal (Web)"/>
    <w:basedOn w:val="1"/>
    <w:qFormat/>
    <w:uiPriority w:val="0"/>
    <w:pPr>
      <w:widowControl/>
      <w:spacing w:before="100" w:beforeAutospacing="1" w:after="100" w:afterAutospacing="1"/>
      <w:jc w:val="left"/>
    </w:pPr>
    <w:rPr>
      <w:rFonts w:ascii="宋体" w:hAnsi="宋体"/>
      <w:kern w:val="0"/>
      <w:sz w:val="24"/>
    </w:rPr>
  </w:style>
  <w:style w:type="paragraph" w:styleId="33">
    <w:name w:val="Title"/>
    <w:basedOn w:val="1"/>
    <w:qFormat/>
    <w:uiPriority w:val="0"/>
    <w:pPr>
      <w:spacing w:before="240" w:after="60"/>
      <w:jc w:val="center"/>
      <w:outlineLvl w:val="0"/>
    </w:pPr>
    <w:rPr>
      <w:rFonts w:ascii="Arial" w:hAnsi="Arial" w:cs="Arial"/>
      <w:b/>
      <w:bCs/>
      <w:sz w:val="32"/>
      <w:szCs w:val="32"/>
    </w:rPr>
  </w:style>
  <w:style w:type="paragraph" w:styleId="34">
    <w:name w:val="annotation subject"/>
    <w:basedOn w:val="14"/>
    <w:next w:val="14"/>
    <w:qFormat/>
    <w:uiPriority w:val="0"/>
    <w:rPr>
      <w:b/>
    </w:rPr>
  </w:style>
  <w:style w:type="paragraph" w:styleId="35">
    <w:name w:val="Body Text First Indent"/>
    <w:basedOn w:val="16"/>
    <w:link w:val="59"/>
    <w:qFormat/>
    <w:uiPriority w:val="0"/>
    <w:pPr>
      <w:spacing w:after="120" w:line="240" w:lineRule="auto"/>
      <w:ind w:firstLine="420" w:firstLineChars="100"/>
    </w:pPr>
    <w:rPr>
      <w:sz w:val="21"/>
      <w:szCs w:val="24"/>
    </w:rPr>
  </w:style>
  <w:style w:type="paragraph" w:styleId="36">
    <w:name w:val="Body Text First Indent 2"/>
    <w:basedOn w:val="17"/>
    <w:qFormat/>
    <w:uiPriority w:val="0"/>
    <w:pPr>
      <w:spacing w:after="120"/>
      <w:ind w:left="420" w:leftChars="200" w:firstLine="210" w:firstLineChars="200"/>
    </w:pPr>
    <w:rPr>
      <w:sz w:val="21"/>
      <w:szCs w:val="24"/>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0"/>
    <w:rPr>
      <w:b/>
    </w:rPr>
  </w:style>
  <w:style w:type="character" w:styleId="41">
    <w:name w:val="page number"/>
    <w:basedOn w:val="39"/>
    <w:qFormat/>
    <w:uiPriority w:val="0"/>
  </w:style>
  <w:style w:type="character" w:styleId="42">
    <w:name w:val="FollowedHyperlink"/>
    <w:qFormat/>
    <w:uiPriority w:val="0"/>
    <w:rPr>
      <w:color w:val="800080"/>
      <w:u w:val="single"/>
    </w:rPr>
  </w:style>
  <w:style w:type="character" w:styleId="43">
    <w:name w:val="HTML Definition"/>
    <w:qFormat/>
    <w:uiPriority w:val="0"/>
    <w:rPr>
      <w:i/>
      <w:iCs/>
    </w:rPr>
  </w:style>
  <w:style w:type="character" w:styleId="44">
    <w:name w:val="HTML Typewriter"/>
    <w:qFormat/>
    <w:uiPriority w:val="0"/>
    <w:rPr>
      <w:rFonts w:ascii="Courier New" w:hAnsi="Courier New"/>
      <w:sz w:val="20"/>
      <w:szCs w:val="20"/>
    </w:rPr>
  </w:style>
  <w:style w:type="character" w:styleId="45">
    <w:name w:val="HTML Acronym"/>
    <w:basedOn w:val="39"/>
    <w:qFormat/>
    <w:uiPriority w:val="0"/>
  </w:style>
  <w:style w:type="character" w:styleId="46">
    <w:name w:val="HTML Variable"/>
    <w:qFormat/>
    <w:uiPriority w:val="0"/>
    <w:rPr>
      <w:i/>
      <w:iCs/>
    </w:rPr>
  </w:style>
  <w:style w:type="character" w:styleId="47">
    <w:name w:val="Hyperlink"/>
    <w:qFormat/>
    <w:uiPriority w:val="0"/>
    <w:rPr>
      <w:color w:val="0000FF"/>
      <w:u w:val="single"/>
    </w:rPr>
  </w:style>
  <w:style w:type="character" w:styleId="48">
    <w:name w:val="HTML Code"/>
    <w:qFormat/>
    <w:uiPriority w:val="0"/>
    <w:rPr>
      <w:rFonts w:ascii="Courier New" w:hAnsi="Courier New"/>
      <w:sz w:val="20"/>
      <w:szCs w:val="20"/>
    </w:rPr>
  </w:style>
  <w:style w:type="character" w:styleId="49">
    <w:name w:val="annotation reference"/>
    <w:qFormat/>
    <w:uiPriority w:val="0"/>
    <w:rPr>
      <w:sz w:val="21"/>
    </w:rPr>
  </w:style>
  <w:style w:type="character" w:styleId="50">
    <w:name w:val="HTML Cite"/>
    <w:qFormat/>
    <w:uiPriority w:val="0"/>
    <w:rPr>
      <w:i/>
      <w:iCs/>
    </w:rPr>
  </w:style>
  <w:style w:type="character" w:styleId="51">
    <w:name w:val="HTML Keyboard"/>
    <w:qFormat/>
    <w:uiPriority w:val="0"/>
    <w:rPr>
      <w:rFonts w:ascii="Courier New" w:hAnsi="Courier New"/>
      <w:sz w:val="20"/>
      <w:szCs w:val="20"/>
    </w:rPr>
  </w:style>
  <w:style w:type="character" w:styleId="52">
    <w:name w:val="HTML Sample"/>
    <w:qFormat/>
    <w:uiPriority w:val="0"/>
    <w:rPr>
      <w:rFonts w:ascii="Courier New" w:hAnsi="Courier New"/>
    </w:rPr>
  </w:style>
  <w:style w:type="paragraph" w:customStyle="1" w:styleId="53">
    <w:name w:val="正文（缩进）"/>
    <w:basedOn w:val="1"/>
    <w:qFormat/>
    <w:uiPriority w:val="99"/>
    <w:pPr>
      <w:spacing w:before="156" w:after="156"/>
      <w:ind w:firstLine="480"/>
    </w:pPr>
  </w:style>
  <w:style w:type="character" w:customStyle="1" w:styleId="54">
    <w:name w:val="正文文本 Char"/>
    <w:link w:val="16"/>
    <w:qFormat/>
    <w:uiPriority w:val="0"/>
    <w:rPr>
      <w:rFonts w:eastAsia="宋体"/>
      <w:kern w:val="2"/>
      <w:sz w:val="24"/>
      <w:lang w:val="en-US" w:eastAsia="zh-CN" w:bidi="ar-SA"/>
    </w:rPr>
  </w:style>
  <w:style w:type="character" w:customStyle="1" w:styleId="55">
    <w:name w:val="标题 1 Char"/>
    <w:link w:val="3"/>
    <w:qFormat/>
    <w:uiPriority w:val="0"/>
    <w:rPr>
      <w:rFonts w:eastAsia="黑体"/>
      <w:b/>
      <w:kern w:val="44"/>
      <w:sz w:val="36"/>
      <w:lang w:val="en-US" w:eastAsia="zh-CN" w:bidi="ar-SA"/>
    </w:rPr>
  </w:style>
  <w:style w:type="character" w:customStyle="1" w:styleId="56">
    <w:name w:val="标题 2 Char"/>
    <w:link w:val="4"/>
    <w:qFormat/>
    <w:uiPriority w:val="0"/>
    <w:rPr>
      <w:rFonts w:ascii="CG Times" w:hAnsi="CG Times" w:eastAsia="宋体"/>
      <w:b/>
      <w:kern w:val="2"/>
      <w:sz w:val="30"/>
      <w:lang w:val="en-US" w:eastAsia="zh-CN" w:bidi="ar-SA"/>
    </w:rPr>
  </w:style>
  <w:style w:type="character" w:customStyle="1" w:styleId="57">
    <w:name w:val="正文缩进 Char"/>
    <w:link w:val="9"/>
    <w:qFormat/>
    <w:uiPriority w:val="0"/>
    <w:rPr>
      <w:rFonts w:eastAsia="宋体"/>
      <w:kern w:val="2"/>
      <w:sz w:val="21"/>
      <w:lang w:val="en-US" w:eastAsia="zh-CN" w:bidi="ar-SA"/>
    </w:rPr>
  </w:style>
  <w:style w:type="character" w:customStyle="1" w:styleId="58">
    <w:name w:val="纯文本 Char"/>
    <w:link w:val="20"/>
    <w:qFormat/>
    <w:uiPriority w:val="0"/>
    <w:rPr>
      <w:rFonts w:ascii="宋体" w:hAnsi="Courier New" w:eastAsia="宋体"/>
      <w:kern w:val="2"/>
      <w:sz w:val="21"/>
      <w:lang w:val="en-US" w:eastAsia="zh-CN" w:bidi="ar-SA"/>
    </w:rPr>
  </w:style>
  <w:style w:type="character" w:customStyle="1" w:styleId="59">
    <w:name w:val="正文首行缩进 Char"/>
    <w:link w:val="35"/>
    <w:qFormat/>
    <w:uiPriority w:val="0"/>
    <w:rPr>
      <w:rFonts w:eastAsia="宋体"/>
      <w:kern w:val="2"/>
      <w:sz w:val="21"/>
      <w:szCs w:val="24"/>
      <w:lang w:val="en-US" w:eastAsia="zh-CN" w:bidi="ar-SA"/>
    </w:rPr>
  </w:style>
  <w:style w:type="character" w:customStyle="1" w:styleId="60">
    <w:name w:val="style60"/>
    <w:basedOn w:val="39"/>
    <w:qFormat/>
    <w:uiPriority w:val="0"/>
  </w:style>
  <w:style w:type="character" w:customStyle="1" w:styleId="61">
    <w:name w:val="zhenwei"/>
    <w:basedOn w:val="39"/>
    <w:qFormat/>
    <w:uiPriority w:val="0"/>
  </w:style>
  <w:style w:type="character" w:customStyle="1" w:styleId="62">
    <w:name w:val="三级条标题 Char"/>
    <w:basedOn w:val="63"/>
    <w:link w:val="69"/>
    <w:qFormat/>
    <w:uiPriority w:val="0"/>
    <w:rPr>
      <w:rFonts w:ascii="黑体" w:eastAsia="黑体"/>
      <w:sz w:val="21"/>
      <w:lang w:val="en-US" w:eastAsia="zh-CN" w:bidi="ar-SA"/>
    </w:rPr>
  </w:style>
  <w:style w:type="character" w:customStyle="1" w:styleId="63">
    <w:name w:val="二级条标题 Char Char"/>
    <w:basedOn w:val="64"/>
    <w:link w:val="68"/>
    <w:qFormat/>
    <w:uiPriority w:val="0"/>
    <w:rPr>
      <w:rFonts w:ascii="黑体" w:eastAsia="黑体"/>
      <w:sz w:val="21"/>
      <w:lang w:val="en-US" w:eastAsia="zh-CN" w:bidi="ar-SA"/>
    </w:rPr>
  </w:style>
  <w:style w:type="character" w:customStyle="1" w:styleId="64">
    <w:name w:val="一级条标题 Char Char"/>
    <w:basedOn w:val="65"/>
    <w:link w:val="67"/>
    <w:qFormat/>
    <w:uiPriority w:val="0"/>
    <w:rPr>
      <w:rFonts w:ascii="黑体" w:eastAsia="黑体"/>
      <w:sz w:val="21"/>
      <w:lang w:val="en-US" w:eastAsia="zh-CN" w:bidi="ar-SA"/>
    </w:rPr>
  </w:style>
  <w:style w:type="character" w:customStyle="1" w:styleId="65">
    <w:name w:val="章标题 Char Char Char"/>
    <w:link w:val="66"/>
    <w:qFormat/>
    <w:uiPriority w:val="0"/>
    <w:rPr>
      <w:rFonts w:ascii="黑体" w:eastAsia="黑体"/>
      <w:sz w:val="21"/>
      <w:lang w:val="en-US" w:eastAsia="zh-CN" w:bidi="ar-SA"/>
    </w:rPr>
  </w:style>
  <w:style w:type="paragraph" w:customStyle="1" w:styleId="66">
    <w:name w:val="章标题 Char Char"/>
    <w:next w:val="1"/>
    <w:link w:val="65"/>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67">
    <w:name w:val="一级条标题 Char"/>
    <w:basedOn w:val="66"/>
    <w:next w:val="1"/>
    <w:link w:val="64"/>
    <w:qFormat/>
    <w:uiPriority w:val="0"/>
    <w:pPr>
      <w:numPr>
        <w:ilvl w:val="2"/>
      </w:numPr>
      <w:spacing w:beforeLines="0" w:afterLines="0"/>
      <w:outlineLvl w:val="2"/>
    </w:pPr>
  </w:style>
  <w:style w:type="paragraph" w:customStyle="1" w:styleId="68">
    <w:name w:val="二级条标题 Char"/>
    <w:basedOn w:val="67"/>
    <w:next w:val="1"/>
    <w:link w:val="63"/>
    <w:qFormat/>
    <w:uiPriority w:val="0"/>
    <w:pPr>
      <w:numPr>
        <w:numId w:val="0"/>
      </w:numPr>
      <w:ind w:left="420"/>
      <w:outlineLvl w:val="3"/>
    </w:pPr>
  </w:style>
  <w:style w:type="paragraph" w:customStyle="1" w:styleId="69">
    <w:name w:val="三级条标题"/>
    <w:basedOn w:val="68"/>
    <w:next w:val="1"/>
    <w:link w:val="62"/>
    <w:qFormat/>
    <w:uiPriority w:val="0"/>
    <w:pPr>
      <w:ind w:left="735"/>
      <w:outlineLvl w:val="4"/>
    </w:pPr>
  </w:style>
  <w:style w:type="character" w:customStyle="1" w:styleId="70">
    <w:name w:val="newsitemtitle1"/>
    <w:qFormat/>
    <w:uiPriority w:val="0"/>
    <w:rPr>
      <w:b/>
      <w:bCs/>
      <w:color w:val="0000CD"/>
      <w:sz w:val="28"/>
      <w:szCs w:val="28"/>
    </w:rPr>
  </w:style>
  <w:style w:type="character" w:customStyle="1" w:styleId="71">
    <w:name w:val="正文表标题 Char"/>
    <w:link w:val="72"/>
    <w:qFormat/>
    <w:uiPriority w:val="0"/>
    <w:rPr>
      <w:rFonts w:ascii="黑体" w:eastAsia="黑体"/>
      <w:sz w:val="21"/>
      <w:lang w:val="en-US" w:eastAsia="zh-CN" w:bidi="ar-SA"/>
    </w:rPr>
  </w:style>
  <w:style w:type="paragraph" w:customStyle="1" w:styleId="72">
    <w:name w:val="正文表标题"/>
    <w:next w:val="73"/>
    <w:link w:val="71"/>
    <w:qFormat/>
    <w:uiPriority w:val="0"/>
    <w:pPr>
      <w:tabs>
        <w:tab w:val="left" w:pos="360"/>
      </w:tabs>
      <w:ind w:left="3780"/>
      <w:jc w:val="center"/>
    </w:pPr>
    <w:rPr>
      <w:rFonts w:ascii="黑体" w:hAnsi="Times New Roman" w:eastAsia="黑体" w:cs="Times New Roman"/>
      <w:sz w:val="21"/>
      <w:lang w:val="en-US" w:eastAsia="zh-CN" w:bidi="ar-SA"/>
    </w:rPr>
  </w:style>
  <w:style w:type="paragraph" w:customStyle="1" w:styleId="7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74">
    <w:name w:val="Char Char1"/>
    <w:qFormat/>
    <w:uiPriority w:val="0"/>
    <w:rPr>
      <w:rFonts w:ascii="宋体" w:hAnsi="Courier New" w:eastAsia="宋体"/>
      <w:kern w:val="2"/>
      <w:sz w:val="21"/>
      <w:lang w:val="en-US" w:eastAsia="zh-CN" w:bidi="ar-SA"/>
    </w:rPr>
  </w:style>
  <w:style w:type="character" w:customStyle="1" w:styleId="75">
    <w:name w:val="个人撰写风格"/>
    <w:qFormat/>
    <w:uiPriority w:val="0"/>
    <w:rPr>
      <w:rFonts w:ascii="Arial" w:hAnsi="Arial" w:eastAsia="宋体" w:cs="Arial"/>
      <w:color w:val="auto"/>
      <w:sz w:val="20"/>
    </w:rPr>
  </w:style>
  <w:style w:type="character" w:customStyle="1" w:styleId="76">
    <w:name w:val="arial111"/>
    <w:qFormat/>
    <w:uiPriority w:val="0"/>
    <w:rPr>
      <w:rFonts w:hint="default" w:ascii="Arial" w:hAnsi="Arial" w:cs="Arial"/>
      <w:sz w:val="17"/>
      <w:szCs w:val="17"/>
    </w:rPr>
  </w:style>
  <w:style w:type="character" w:customStyle="1" w:styleId="77">
    <w:name w:val="五级条标题 Char"/>
    <w:basedOn w:val="78"/>
    <w:link w:val="80"/>
    <w:qFormat/>
    <w:uiPriority w:val="0"/>
    <w:rPr>
      <w:rFonts w:ascii="黑体" w:eastAsia="黑体"/>
      <w:sz w:val="21"/>
      <w:lang w:val="en-US" w:eastAsia="zh-CN" w:bidi="ar-SA"/>
    </w:rPr>
  </w:style>
  <w:style w:type="character" w:customStyle="1" w:styleId="78">
    <w:name w:val="四级条标题 Char"/>
    <w:basedOn w:val="62"/>
    <w:link w:val="79"/>
    <w:qFormat/>
    <w:uiPriority w:val="0"/>
    <w:rPr>
      <w:rFonts w:ascii="黑体" w:eastAsia="黑体"/>
      <w:sz w:val="21"/>
      <w:lang w:val="en-US" w:eastAsia="zh-CN" w:bidi="ar-SA"/>
    </w:rPr>
  </w:style>
  <w:style w:type="paragraph" w:customStyle="1" w:styleId="79">
    <w:name w:val="四级条标题"/>
    <w:basedOn w:val="69"/>
    <w:next w:val="1"/>
    <w:link w:val="78"/>
    <w:qFormat/>
    <w:uiPriority w:val="0"/>
    <w:pPr>
      <w:ind w:left="0"/>
      <w:outlineLvl w:val="5"/>
    </w:pPr>
  </w:style>
  <w:style w:type="paragraph" w:customStyle="1" w:styleId="80">
    <w:name w:val="五级条标题"/>
    <w:basedOn w:val="79"/>
    <w:next w:val="1"/>
    <w:link w:val="77"/>
    <w:qFormat/>
    <w:uiPriority w:val="0"/>
    <w:pPr>
      <w:outlineLvl w:val="6"/>
    </w:pPr>
  </w:style>
  <w:style w:type="character" w:customStyle="1" w:styleId="81">
    <w:name w:val="无间隔 Char"/>
    <w:link w:val="82"/>
    <w:qFormat/>
    <w:uiPriority w:val="0"/>
    <w:rPr>
      <w:rFonts w:ascii="Calibri" w:hAnsi="Calibri"/>
      <w:sz w:val="22"/>
      <w:szCs w:val="22"/>
      <w:lang w:val="en-US" w:eastAsia="zh-CN" w:bidi="ar-SA"/>
    </w:rPr>
  </w:style>
  <w:style w:type="paragraph" w:styleId="82">
    <w:name w:val="No Spacing"/>
    <w:link w:val="81"/>
    <w:qFormat/>
    <w:uiPriority w:val="0"/>
    <w:rPr>
      <w:rFonts w:ascii="Calibri" w:hAnsi="Calibri" w:eastAsia="宋体" w:cs="Times New Roman"/>
      <w:sz w:val="22"/>
      <w:szCs w:val="22"/>
      <w:lang w:val="en-US" w:eastAsia="zh-CN" w:bidi="ar-SA"/>
    </w:rPr>
  </w:style>
  <w:style w:type="character" w:customStyle="1" w:styleId="83">
    <w:name w:val="样式3 Char"/>
    <w:link w:val="84"/>
    <w:qFormat/>
    <w:uiPriority w:val="0"/>
    <w:rPr>
      <w:rFonts w:ascii="宋体" w:hAnsi="Courier New" w:eastAsia="宋体"/>
      <w:kern w:val="2"/>
      <w:sz w:val="28"/>
      <w:lang w:val="en-US" w:eastAsia="zh-CN" w:bidi="ar-SA"/>
    </w:rPr>
  </w:style>
  <w:style w:type="paragraph" w:customStyle="1" w:styleId="84">
    <w:name w:val="样式3"/>
    <w:basedOn w:val="20"/>
    <w:link w:val="83"/>
    <w:qFormat/>
    <w:uiPriority w:val="0"/>
    <w:pPr>
      <w:spacing w:line="0" w:lineRule="atLeast"/>
      <w:outlineLvl w:val="0"/>
    </w:pPr>
    <w:rPr>
      <w:sz w:val="28"/>
    </w:rPr>
  </w:style>
  <w:style w:type="character" w:customStyle="1" w:styleId="85">
    <w:name w:val="章标题 Char"/>
    <w:link w:val="86"/>
    <w:qFormat/>
    <w:uiPriority w:val="0"/>
    <w:rPr>
      <w:rFonts w:ascii="黑体" w:eastAsia="黑体"/>
      <w:kern w:val="2"/>
      <w:sz w:val="21"/>
      <w:szCs w:val="24"/>
      <w:lang w:val="en-US" w:eastAsia="zh-CN" w:bidi="ar-SA"/>
    </w:rPr>
  </w:style>
  <w:style w:type="paragraph" w:customStyle="1" w:styleId="86">
    <w:name w:val="章标题"/>
    <w:next w:val="1"/>
    <w:link w:val="85"/>
    <w:qFormat/>
    <w:uiPriority w:val="0"/>
    <w:pPr>
      <w:spacing w:beforeLines="50" w:afterLines="50"/>
      <w:jc w:val="both"/>
      <w:outlineLvl w:val="1"/>
    </w:pPr>
    <w:rPr>
      <w:rFonts w:ascii="黑体" w:hAnsi="Times New Roman" w:eastAsia="黑体" w:cs="Times New Roman"/>
      <w:kern w:val="2"/>
      <w:sz w:val="21"/>
      <w:szCs w:val="24"/>
      <w:lang w:val="en-US" w:eastAsia="zh-CN" w:bidi="ar-SA"/>
    </w:rPr>
  </w:style>
  <w:style w:type="character" w:customStyle="1" w:styleId="87">
    <w:name w:val="kleintab1"/>
    <w:qFormat/>
    <w:uiPriority w:val="0"/>
    <w:rPr>
      <w:color w:val="999999"/>
      <w:sz w:val="7"/>
      <w:szCs w:val="7"/>
    </w:rPr>
  </w:style>
  <w:style w:type="character" w:customStyle="1" w:styleId="88">
    <w:name w:val="个人答复风格"/>
    <w:qFormat/>
    <w:uiPriority w:val="0"/>
    <w:rPr>
      <w:rFonts w:ascii="Arial" w:hAnsi="Arial" w:eastAsia="宋体" w:cs="Arial"/>
      <w:color w:val="auto"/>
      <w:sz w:val="20"/>
    </w:rPr>
  </w:style>
  <w:style w:type="character" w:customStyle="1" w:styleId="89">
    <w:name w:val="一级无标题条 Char"/>
    <w:link w:val="90"/>
    <w:qFormat/>
    <w:uiPriority w:val="0"/>
    <w:rPr>
      <w:rFonts w:eastAsia="宋体"/>
      <w:kern w:val="2"/>
      <w:sz w:val="21"/>
      <w:szCs w:val="24"/>
      <w:lang w:val="en-US" w:eastAsia="zh-CN" w:bidi="ar-SA"/>
    </w:rPr>
  </w:style>
  <w:style w:type="paragraph" w:customStyle="1" w:styleId="90">
    <w:name w:val="一级无标题条"/>
    <w:basedOn w:val="1"/>
    <w:link w:val="89"/>
    <w:qFormat/>
    <w:uiPriority w:val="0"/>
    <w:rPr>
      <w:szCs w:val="24"/>
    </w:rPr>
  </w:style>
  <w:style w:type="character" w:customStyle="1" w:styleId="91">
    <w:name w:val="wd12hei221"/>
    <w:qFormat/>
    <w:uiPriority w:val="0"/>
    <w:rPr>
      <w:color w:val="000000"/>
      <w:sz w:val="20"/>
      <w:szCs w:val="20"/>
      <w:u w:val="none"/>
    </w:rPr>
  </w:style>
  <w:style w:type="character" w:customStyle="1" w:styleId="92">
    <w:name w:val="发布"/>
    <w:qFormat/>
    <w:uiPriority w:val="0"/>
    <w:rPr>
      <w:rFonts w:ascii="黑体" w:eastAsia="黑体"/>
      <w:spacing w:val="22"/>
      <w:w w:val="100"/>
      <w:position w:val="3"/>
      <w:sz w:val="28"/>
    </w:rPr>
  </w:style>
  <w:style w:type="character" w:customStyle="1" w:styleId="93">
    <w:name w:val="纯文本 Char Char"/>
    <w:qFormat/>
    <w:uiPriority w:val="0"/>
    <w:rPr>
      <w:rFonts w:ascii="宋体" w:hAnsi="Courier New" w:eastAsia="宋体"/>
      <w:kern w:val="2"/>
      <w:sz w:val="21"/>
      <w:lang w:val="en-US" w:eastAsia="zh-CN" w:bidi="ar-SA"/>
    </w:rPr>
  </w:style>
  <w:style w:type="character" w:customStyle="1" w:styleId="94">
    <w:name w:val="big14"/>
    <w:basedOn w:val="39"/>
    <w:qFormat/>
    <w:uiPriority w:val="0"/>
  </w:style>
  <w:style w:type="paragraph" w:customStyle="1" w:styleId="95">
    <w:name w:val="Char Char"/>
    <w:basedOn w:val="1"/>
    <w:qFormat/>
    <w:uiPriority w:val="0"/>
    <w:pPr>
      <w:spacing w:line="360" w:lineRule="auto"/>
    </w:pPr>
    <w:rPr>
      <w:rFonts w:ascii="Tahoma" w:hAnsi="Tahoma"/>
      <w:sz w:val="24"/>
    </w:rPr>
  </w:style>
  <w:style w:type="paragraph" w:customStyle="1" w:styleId="96">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97">
    <w:name w:val="Char2"/>
    <w:basedOn w:val="1"/>
    <w:qFormat/>
    <w:uiPriority w:val="0"/>
    <w:rPr>
      <w:rFonts w:ascii="Tahoma" w:hAnsi="Tahoma"/>
      <w:sz w:val="24"/>
    </w:rPr>
  </w:style>
  <w:style w:type="paragraph" w:customStyle="1" w:styleId="98">
    <w:name w:val="Char Char Char Char Char Char Char Char Char Char Char Char Char Char Char Char Char"/>
    <w:basedOn w:val="1"/>
    <w:qFormat/>
    <w:uiPriority w:val="0"/>
    <w:rPr>
      <w:rFonts w:ascii="Tahoma" w:hAnsi="Tahoma"/>
      <w:sz w:val="24"/>
    </w:rPr>
  </w:style>
  <w:style w:type="paragraph" w:customStyle="1" w:styleId="99">
    <w:name w:val="样式 标题 3标题 3 CharH3h33rd level3Level 3 Headlevel_3PIM 3s..."/>
    <w:basedOn w:val="5"/>
    <w:qFormat/>
    <w:uiPriority w:val="0"/>
    <w:pPr>
      <w:numPr>
        <w:numId w:val="0"/>
      </w:numPr>
      <w:tabs>
        <w:tab w:val="clear" w:pos="5852"/>
      </w:tabs>
      <w:snapToGrid/>
      <w:spacing w:before="260" w:afterLines="50" w:line="416" w:lineRule="auto"/>
    </w:pPr>
    <w:rPr>
      <w:rFonts w:cs="宋体"/>
      <w:bCs/>
    </w:rPr>
  </w:style>
  <w:style w:type="paragraph" w:customStyle="1" w:styleId="100">
    <w:name w:val="其他发布部门"/>
    <w:basedOn w:val="101"/>
    <w:qFormat/>
    <w:uiPriority w:val="0"/>
    <w:pPr>
      <w:framePr w:wrap="around"/>
      <w:spacing w:line="0" w:lineRule="atLeast"/>
    </w:pPr>
    <w:rPr>
      <w:rFonts w:ascii="黑体" w:eastAsia="黑体"/>
      <w:b w:val="0"/>
    </w:rPr>
  </w:style>
  <w:style w:type="paragraph" w:customStyle="1" w:styleId="101">
    <w:name w:val="发布部门"/>
    <w:next w:val="73"/>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02">
    <w:name w:val="四级无标题条"/>
    <w:basedOn w:val="1"/>
    <w:qFormat/>
    <w:uiPriority w:val="0"/>
    <w:rPr>
      <w:szCs w:val="24"/>
    </w:rPr>
  </w:style>
  <w:style w:type="paragraph" w:customStyle="1" w:styleId="103">
    <w:name w:val="c封面发布日期"/>
    <w:basedOn w:val="1"/>
    <w:qFormat/>
    <w:uiPriority w:val="0"/>
    <w:pPr>
      <w:adjustRightInd w:val="0"/>
    </w:pPr>
    <w:rPr>
      <w:rFonts w:eastAsia="黑体"/>
      <w:kern w:val="0"/>
      <w:sz w:val="28"/>
    </w:rPr>
  </w:style>
  <w:style w:type="paragraph" w:customStyle="1" w:styleId="104">
    <w:name w:val="正文0"/>
    <w:basedOn w:val="1"/>
    <w:qFormat/>
    <w:uiPriority w:val="0"/>
    <w:pPr>
      <w:autoSpaceDE w:val="0"/>
      <w:autoSpaceDN w:val="0"/>
      <w:adjustRightInd w:val="0"/>
      <w:spacing w:before="240" w:after="60" w:line="360" w:lineRule="atLeast"/>
    </w:pPr>
    <w:rPr>
      <w:b/>
      <w:kern w:val="0"/>
      <w:sz w:val="24"/>
    </w:rPr>
  </w:style>
  <w:style w:type="paragraph" w:customStyle="1" w:styleId="105">
    <w:name w:val="Char2 Char Char Char Char Char Char Char Char Char Char Char Char"/>
    <w:basedOn w:val="1"/>
    <w:qFormat/>
    <w:uiPriority w:val="0"/>
    <w:pPr>
      <w:spacing w:line="360" w:lineRule="auto"/>
      <w:ind w:firstLine="200" w:firstLineChars="200"/>
    </w:pPr>
    <w:rPr>
      <w:rFonts w:ascii="Tahoma" w:hAnsi="Tahoma"/>
      <w:sz w:val="24"/>
      <w:szCs w:val="24"/>
    </w:rPr>
  </w:style>
  <w:style w:type="paragraph" w:customStyle="1" w:styleId="106">
    <w:name w:val="Char Char Char"/>
    <w:basedOn w:val="1"/>
    <w:qFormat/>
    <w:uiPriority w:val="0"/>
    <w:rPr>
      <w:rFonts w:ascii="Tahoma" w:hAnsi="Tahoma"/>
      <w:sz w:val="24"/>
    </w:rPr>
  </w:style>
  <w:style w:type="paragraph" w:customStyle="1" w:styleId="107">
    <w:name w:val="默认段落字体 Para Char Char Char Char"/>
    <w:basedOn w:val="1"/>
    <w:qFormat/>
    <w:uiPriority w:val="0"/>
    <w:rPr>
      <w:szCs w:val="24"/>
    </w:rPr>
  </w:style>
  <w:style w:type="paragraph" w:customStyle="1" w:styleId="108">
    <w:name w:val="Char Char Char Char"/>
    <w:basedOn w:val="1"/>
    <w:qFormat/>
    <w:uiPriority w:val="0"/>
    <w:rPr>
      <w:rFonts w:ascii="Tahoma" w:hAnsi="Tahoma"/>
      <w:sz w:val="24"/>
    </w:rPr>
  </w:style>
  <w:style w:type="paragraph" w:customStyle="1" w:styleId="109">
    <w:name w:val="条文脚注"/>
    <w:basedOn w:val="28"/>
    <w:qFormat/>
    <w:uiPriority w:val="0"/>
    <w:pPr>
      <w:ind w:left="780" w:leftChars="200" w:hanging="360" w:hangingChars="200"/>
      <w:jc w:val="both"/>
    </w:pPr>
    <w:rPr>
      <w:rFonts w:ascii="宋体"/>
    </w:rPr>
  </w:style>
  <w:style w:type="paragraph" w:customStyle="1" w:styleId="110">
    <w:name w:val="字母编号列项"/>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11">
    <w:name w:val="附录表标题"/>
    <w:next w:val="73"/>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112">
    <w:name w:val="Char1 Char Char Char Char Char Char"/>
    <w:basedOn w:val="1"/>
    <w:qFormat/>
    <w:uiPriority w:val="0"/>
  </w:style>
  <w:style w:type="paragraph" w:customStyle="1" w:styleId="11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4">
    <w:name w:val="标准书眉_偶数页"/>
    <w:basedOn w:val="115"/>
    <w:next w:val="1"/>
    <w:qFormat/>
    <w:uiPriority w:val="0"/>
    <w:pPr>
      <w:tabs>
        <w:tab w:val="center" w:pos="4154"/>
        <w:tab w:val="right" w:pos="8306"/>
      </w:tabs>
      <w:jc w:val="left"/>
    </w:pPr>
  </w:style>
  <w:style w:type="paragraph" w:customStyle="1" w:styleId="11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16">
    <w:name w:val="一级条标题"/>
    <w:basedOn w:val="1"/>
    <w:next w:val="1"/>
    <w:qFormat/>
    <w:uiPriority w:val="0"/>
    <w:pPr>
      <w:widowControl/>
      <w:outlineLvl w:val="2"/>
    </w:pPr>
    <w:rPr>
      <w:rFonts w:ascii="黑体" w:eastAsia="黑体"/>
      <w:kern w:val="0"/>
    </w:rPr>
  </w:style>
  <w:style w:type="paragraph" w:customStyle="1" w:styleId="11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19">
    <w:name w:val="封面标准号2"/>
    <w:basedOn w:val="120"/>
    <w:qFormat/>
    <w:uiPriority w:val="0"/>
    <w:pPr>
      <w:framePr w:w="9138" w:h="1244" w:hRule="exact" w:wrap="around" w:vAnchor="page" w:hAnchor="margin" w:y="2908"/>
      <w:adjustRightInd w:val="0"/>
      <w:spacing w:before="357" w:line="280" w:lineRule="exact"/>
    </w:pPr>
  </w:style>
  <w:style w:type="paragraph" w:customStyle="1" w:styleId="120">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21">
    <w:name w:val="附录图标题"/>
    <w:next w:val="73"/>
    <w:qFormat/>
    <w:uiPriority w:val="0"/>
    <w:pPr>
      <w:jc w:val="center"/>
    </w:pPr>
    <w:rPr>
      <w:rFonts w:ascii="黑体" w:hAnsi="Times New Roman" w:eastAsia="黑体" w:cs="Times New Roman"/>
      <w:sz w:val="21"/>
      <w:lang w:val="en-US" w:eastAsia="zh-CN" w:bidi="ar-SA"/>
    </w:rPr>
  </w:style>
  <w:style w:type="paragraph" w:customStyle="1" w:styleId="122">
    <w:name w:val="Char Char3"/>
    <w:basedOn w:val="1"/>
    <w:qFormat/>
    <w:uiPriority w:val="0"/>
    <w:pPr>
      <w:adjustRightInd w:val="0"/>
      <w:spacing w:line="360" w:lineRule="auto"/>
    </w:pPr>
    <w:rPr>
      <w:kern w:val="0"/>
      <w:sz w:val="24"/>
    </w:rPr>
  </w:style>
  <w:style w:type="paragraph" w:customStyle="1" w:styleId="123">
    <w:name w:val="标准书眉一"/>
    <w:qFormat/>
    <w:uiPriority w:val="0"/>
    <w:pPr>
      <w:jc w:val="both"/>
    </w:pPr>
    <w:rPr>
      <w:rFonts w:ascii="Times New Roman" w:hAnsi="Times New Roman" w:eastAsia="宋体" w:cs="Times New Roman"/>
      <w:lang w:val="en-US" w:eastAsia="zh-CN" w:bidi="ar-SA"/>
    </w:rPr>
  </w:style>
  <w:style w:type="paragraph" w:customStyle="1" w:styleId="124">
    <w:name w:val="样式1"/>
    <w:basedOn w:val="3"/>
    <w:qFormat/>
    <w:uiPriority w:val="0"/>
    <w:pPr>
      <w:spacing w:line="0" w:lineRule="atLeast"/>
    </w:pPr>
    <w:rPr>
      <w:b w:val="0"/>
    </w:rPr>
  </w:style>
  <w:style w:type="paragraph" w:customStyle="1" w:styleId="125">
    <w:name w:val="封面标准代替信息"/>
    <w:basedOn w:val="119"/>
    <w:qFormat/>
    <w:uiPriority w:val="0"/>
    <w:pPr>
      <w:framePr w:wrap="around"/>
      <w:spacing w:before="57"/>
    </w:pPr>
    <w:rPr>
      <w:rFonts w:ascii="宋体"/>
      <w:sz w:val="21"/>
    </w:rPr>
  </w:style>
  <w:style w:type="paragraph" w:customStyle="1" w:styleId="126">
    <w:name w:val="封面正文"/>
    <w:qFormat/>
    <w:uiPriority w:val="0"/>
    <w:pPr>
      <w:jc w:val="both"/>
    </w:pPr>
    <w:rPr>
      <w:rFonts w:ascii="Times New Roman" w:hAnsi="Times New Roman" w:eastAsia="宋体" w:cs="Times New Roman"/>
      <w:lang w:val="en-US" w:eastAsia="zh-CN" w:bidi="ar-SA"/>
    </w:rPr>
  </w:style>
  <w:style w:type="paragraph" w:customStyle="1" w:styleId="127">
    <w:name w:val="默认段落字体 Para Char Char Char Char Char Char Char Char Char1 Char Char Char Char Char Char Char"/>
    <w:basedOn w:val="13"/>
    <w:qFormat/>
    <w:uiPriority w:val="0"/>
    <w:rPr>
      <w:szCs w:val="24"/>
    </w:rPr>
  </w:style>
  <w:style w:type="paragraph" w:customStyle="1" w:styleId="128">
    <w:name w:val="参考文献、索引标题"/>
    <w:basedOn w:val="129"/>
    <w:next w:val="1"/>
    <w:qFormat/>
    <w:uiPriority w:val="0"/>
    <w:pPr>
      <w:numPr>
        <w:numId w:val="0"/>
      </w:numPr>
      <w:spacing w:after="200"/>
    </w:pPr>
    <w:rPr>
      <w:sz w:val="21"/>
    </w:rPr>
  </w:style>
  <w:style w:type="paragraph" w:customStyle="1" w:styleId="129">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0">
    <w:name w:val="List Paragraph1"/>
    <w:basedOn w:val="1"/>
    <w:qFormat/>
    <w:uiPriority w:val="0"/>
    <w:pPr>
      <w:ind w:firstLine="420" w:firstLineChars="200"/>
    </w:pPr>
    <w:rPr>
      <w:rFonts w:ascii="Calibri" w:hAnsi="Calibri"/>
      <w:szCs w:val="22"/>
    </w:rPr>
  </w:style>
  <w:style w:type="paragraph" w:customStyle="1" w:styleId="131">
    <w:name w:val="_Style 128"/>
    <w:semiHidden/>
    <w:qFormat/>
    <w:uiPriority w:val="99"/>
    <w:rPr>
      <w:rFonts w:ascii="Times New Roman" w:hAnsi="Times New Roman" w:eastAsia="宋体" w:cs="Times New Roman"/>
      <w:kern w:val="2"/>
      <w:sz w:val="21"/>
      <w:lang w:val="en-US" w:eastAsia="zh-CN" w:bidi="ar-SA"/>
    </w:rPr>
  </w:style>
  <w:style w:type="paragraph" w:customStyle="1" w:styleId="132">
    <w:name w:val="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3">
    <w:name w:val="Char Char4"/>
    <w:basedOn w:val="13"/>
    <w:qFormat/>
    <w:uiPriority w:val="0"/>
    <w:rPr>
      <w:rFonts w:ascii="Tahoma" w:hAnsi="Tahoma"/>
      <w:sz w:val="24"/>
      <w:szCs w:val="24"/>
    </w:rPr>
  </w:style>
  <w:style w:type="paragraph" w:customStyle="1" w:styleId="134">
    <w:name w:val="附录四级条标题"/>
    <w:basedOn w:val="135"/>
    <w:next w:val="73"/>
    <w:qFormat/>
    <w:uiPriority w:val="0"/>
    <w:pPr>
      <w:tabs>
        <w:tab w:val="left" w:pos="360"/>
      </w:tabs>
      <w:outlineLvl w:val="5"/>
    </w:pPr>
  </w:style>
  <w:style w:type="paragraph" w:customStyle="1" w:styleId="135">
    <w:name w:val="附录三级条标题"/>
    <w:basedOn w:val="136"/>
    <w:next w:val="73"/>
    <w:qFormat/>
    <w:uiPriority w:val="0"/>
    <w:pPr>
      <w:tabs>
        <w:tab w:val="left" w:pos="360"/>
      </w:tabs>
      <w:outlineLvl w:val="4"/>
    </w:pPr>
  </w:style>
  <w:style w:type="paragraph" w:customStyle="1" w:styleId="136">
    <w:name w:val="附录二级条标题"/>
    <w:basedOn w:val="137"/>
    <w:next w:val="73"/>
    <w:qFormat/>
    <w:uiPriority w:val="0"/>
    <w:pPr>
      <w:tabs>
        <w:tab w:val="left" w:pos="360"/>
      </w:tabs>
      <w:outlineLvl w:val="3"/>
    </w:pPr>
  </w:style>
  <w:style w:type="paragraph" w:customStyle="1" w:styleId="137">
    <w:name w:val="附录一级条标题"/>
    <w:basedOn w:val="138"/>
    <w:next w:val="73"/>
    <w:qFormat/>
    <w:uiPriority w:val="0"/>
    <w:pPr>
      <w:tabs>
        <w:tab w:val="left" w:pos="360"/>
      </w:tabs>
      <w:autoSpaceDN w:val="0"/>
      <w:spacing w:beforeLines="0" w:afterLines="0"/>
      <w:ind w:left="0"/>
      <w:outlineLvl w:val="2"/>
    </w:pPr>
  </w:style>
  <w:style w:type="paragraph" w:customStyle="1" w:styleId="138">
    <w:name w:val="附录章标题"/>
    <w:next w:val="73"/>
    <w:qFormat/>
    <w:uiPriority w:val="0"/>
    <w:pPr>
      <w:tabs>
        <w:tab w:val="left" w:pos="360"/>
      </w:tabs>
      <w:wordWrap w:val="0"/>
      <w:overflowPunct w:val="0"/>
      <w:autoSpaceDE w:val="0"/>
      <w:spacing w:beforeLines="50" w:afterLines="50"/>
      <w:ind w:left="420"/>
      <w:jc w:val="both"/>
      <w:textAlignment w:val="baseline"/>
      <w:outlineLvl w:val="1"/>
    </w:pPr>
    <w:rPr>
      <w:rFonts w:ascii="黑体" w:hAnsi="Times New Roman" w:eastAsia="黑体" w:cs="Times New Roman"/>
      <w:kern w:val="21"/>
      <w:sz w:val="21"/>
      <w:lang w:val="en-US" w:eastAsia="zh-CN" w:bidi="ar-SA"/>
    </w:rPr>
  </w:style>
  <w:style w:type="paragraph" w:customStyle="1" w:styleId="13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4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1">
    <w:name w:val="Char Char2 Char"/>
    <w:basedOn w:val="1"/>
    <w:qFormat/>
    <w:uiPriority w:val="0"/>
    <w:rPr>
      <w:rFonts w:ascii="Verdana" w:hAnsi="Verdana" w:cs="ˎ̥"/>
      <w:sz w:val="24"/>
    </w:rPr>
  </w:style>
  <w:style w:type="paragraph" w:customStyle="1" w:styleId="142">
    <w:name w:val="0"/>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43">
    <w:name w:val="Char Char Char1"/>
    <w:basedOn w:val="1"/>
    <w:qFormat/>
    <w:uiPriority w:val="0"/>
    <w:rPr>
      <w:rFonts w:ascii="Tahoma" w:hAnsi="Tahoma"/>
      <w:sz w:val="24"/>
    </w:rPr>
  </w:style>
  <w:style w:type="paragraph" w:customStyle="1" w:styleId="144">
    <w:name w:val="实施日期"/>
    <w:basedOn w:val="96"/>
    <w:qFormat/>
    <w:uiPriority w:val="0"/>
    <w:pPr>
      <w:framePr w:hSpace="0" w:wrap="around" w:xAlign="right"/>
      <w:jc w:val="right"/>
    </w:pPr>
  </w:style>
  <w:style w:type="paragraph" w:customStyle="1" w:styleId="145">
    <w:name w:val="注："/>
    <w:next w:val="73"/>
    <w:qFormat/>
    <w:uiPriority w:val="0"/>
    <w:pPr>
      <w:widowControl w:val="0"/>
      <w:tabs>
        <w:tab w:val="left" w:pos="360"/>
      </w:tabs>
      <w:autoSpaceDE w:val="0"/>
      <w:autoSpaceDN w:val="0"/>
      <w:jc w:val="both"/>
    </w:pPr>
    <w:rPr>
      <w:rFonts w:ascii="宋体" w:hAnsi="Times New Roman" w:eastAsia="宋体" w:cs="Times New Roman"/>
      <w:sz w:val="18"/>
      <w:lang w:val="en-US" w:eastAsia="zh-CN" w:bidi="ar-SA"/>
    </w:rPr>
  </w:style>
  <w:style w:type="paragraph" w:customStyle="1" w:styleId="146">
    <w:name w:val="列表段落1"/>
    <w:basedOn w:val="1"/>
    <w:qFormat/>
    <w:uiPriority w:val="34"/>
    <w:pPr>
      <w:ind w:firstLine="420" w:firstLineChars="200"/>
    </w:pPr>
    <w:rPr>
      <w:rFonts w:ascii="Calibri" w:hAnsi="Calibri"/>
    </w:rPr>
  </w:style>
  <w:style w:type="paragraph" w:customStyle="1" w:styleId="147">
    <w:name w:val="Char1 Char Char"/>
    <w:basedOn w:val="1"/>
    <w:qFormat/>
    <w:uiPriority w:val="0"/>
    <w:rPr>
      <w:rFonts w:ascii="Tahoma" w:hAnsi="Tahoma"/>
      <w:sz w:val="24"/>
    </w:rPr>
  </w:style>
  <w:style w:type="paragraph" w:customStyle="1" w:styleId="148">
    <w:name w:val="注×："/>
    <w:qFormat/>
    <w:uiPriority w:val="0"/>
    <w:pPr>
      <w:widowControl w:val="0"/>
      <w:tabs>
        <w:tab w:val="left" w:pos="360"/>
        <w:tab w:val="left" w:pos="630"/>
      </w:tabs>
      <w:autoSpaceDE w:val="0"/>
      <w:autoSpaceDN w:val="0"/>
      <w:jc w:val="both"/>
    </w:pPr>
    <w:rPr>
      <w:rFonts w:ascii="宋体" w:hAnsi="Times New Roman" w:eastAsia="宋体" w:cs="Times New Roman"/>
      <w:sz w:val="18"/>
      <w:lang w:val="en-US" w:eastAsia="zh-CN" w:bidi="ar-SA"/>
    </w:rPr>
  </w:style>
  <w:style w:type="paragraph" w:customStyle="1" w:styleId="149">
    <w:name w:val="图表脚注"/>
    <w:next w:val="73"/>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50">
    <w:name w:val="二级无标题条"/>
    <w:basedOn w:val="1"/>
    <w:qFormat/>
    <w:uiPriority w:val="0"/>
    <w:rPr>
      <w:szCs w:val="24"/>
    </w:rPr>
  </w:style>
  <w:style w:type="paragraph" w:customStyle="1" w:styleId="15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52">
    <w:name w:val="列项——"/>
    <w:qFormat/>
    <w:uiPriority w:val="0"/>
    <w:pPr>
      <w:widowControl w:val="0"/>
      <w:tabs>
        <w:tab w:val="left" w:pos="360"/>
      </w:tabs>
      <w:jc w:val="both"/>
    </w:pPr>
    <w:rPr>
      <w:rFonts w:ascii="宋体" w:hAnsi="Times New Roman" w:eastAsia="宋体" w:cs="Times New Roman"/>
      <w:sz w:val="21"/>
      <w:lang w:val="en-US" w:eastAsia="zh-CN" w:bidi="ar-SA"/>
    </w:rPr>
  </w:style>
  <w:style w:type="paragraph" w:customStyle="1" w:styleId="153">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54">
    <w:name w:val="三级无标题条"/>
    <w:basedOn w:val="1"/>
    <w:qFormat/>
    <w:uiPriority w:val="0"/>
    <w:rPr>
      <w:szCs w:val="24"/>
    </w:rPr>
  </w:style>
  <w:style w:type="paragraph" w:customStyle="1" w:styleId="155">
    <w:name w:val="p0"/>
    <w:basedOn w:val="1"/>
    <w:qFormat/>
    <w:uiPriority w:val="0"/>
    <w:pPr>
      <w:widowControl/>
    </w:pPr>
    <w:rPr>
      <w:kern w:val="0"/>
      <w:szCs w:val="21"/>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Char11"/>
    <w:basedOn w:val="1"/>
    <w:qFormat/>
    <w:uiPriority w:val="0"/>
    <w:rPr>
      <w:sz w:val="24"/>
    </w:rPr>
  </w:style>
  <w:style w:type="paragraph" w:customStyle="1" w:styleId="15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59">
    <w:name w:val="附录五级条标题"/>
    <w:basedOn w:val="134"/>
    <w:next w:val="73"/>
    <w:qFormat/>
    <w:uiPriority w:val="0"/>
    <w:pPr>
      <w:outlineLvl w:val="6"/>
    </w:pPr>
  </w:style>
  <w:style w:type="paragraph" w:customStyle="1" w:styleId="160">
    <w:name w:val="Char Char1 Char Char Char"/>
    <w:basedOn w:val="13"/>
    <w:qFormat/>
    <w:uiPriority w:val="0"/>
    <w:rPr>
      <w:rFonts w:ascii="Tahoma" w:hAnsi="Tahoma"/>
      <w:sz w:val="24"/>
      <w:szCs w:val="24"/>
    </w:rPr>
  </w:style>
  <w:style w:type="paragraph" w:customStyle="1" w:styleId="161">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62">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63">
    <w:name w:val="(文字) (文字)"/>
    <w:basedOn w:val="1"/>
    <w:qFormat/>
    <w:uiPriority w:val="0"/>
    <w:rPr>
      <w:rFonts w:ascii="Tahoma" w:hAnsi="Tahoma"/>
      <w:sz w:val="24"/>
    </w:rPr>
  </w:style>
  <w:style w:type="paragraph" w:customStyle="1" w:styleId="164">
    <w:name w:val="Q/19LGT01—2001"/>
    <w:basedOn w:val="1"/>
    <w:qFormat/>
    <w:uiPriority w:val="0"/>
    <w:pPr>
      <w:tabs>
        <w:tab w:val="left" w:pos="420"/>
        <w:tab w:val="left" w:pos="555"/>
      </w:tabs>
      <w:spacing w:line="360" w:lineRule="auto"/>
      <w:ind w:left="435" w:leftChars="150" w:hanging="120" w:hangingChars="50"/>
    </w:pPr>
    <w:rPr>
      <w:rFonts w:ascii="宋体" w:hAnsi="宋体"/>
      <w:bCs/>
      <w:sz w:val="24"/>
      <w:szCs w:val="24"/>
    </w:rPr>
  </w:style>
  <w:style w:type="paragraph" w:customStyle="1" w:styleId="165">
    <w:name w:val="Char Char Char Char Char Char Char Char Char Char Char Char Char Char Char Char Char Char"/>
    <w:basedOn w:val="1"/>
    <w:qFormat/>
    <w:uiPriority w:val="0"/>
    <w:rPr>
      <w:rFonts w:ascii="Tahoma" w:hAnsi="Tahoma"/>
      <w:sz w:val="24"/>
    </w:rPr>
  </w:style>
  <w:style w:type="paragraph" w:customStyle="1" w:styleId="166">
    <w:name w:val="正文_0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Char Char Char Char11"/>
    <w:basedOn w:val="13"/>
    <w:qFormat/>
    <w:uiPriority w:val="0"/>
    <w:pPr>
      <w:adjustRightInd w:val="0"/>
      <w:snapToGrid w:val="0"/>
      <w:spacing w:line="360" w:lineRule="auto"/>
    </w:pPr>
    <w:rPr>
      <w:rFonts w:ascii="Tahoma" w:hAnsi="Tahoma"/>
      <w:sz w:val="24"/>
      <w:szCs w:val="24"/>
    </w:rPr>
  </w:style>
  <w:style w:type="paragraph" w:customStyle="1" w:styleId="168">
    <w:name w:val="样式 标题 4H4sect 1.2.3.4Ref Heading 1rh1Heading sqlh4h41h42..."/>
    <w:basedOn w:val="6"/>
    <w:qFormat/>
    <w:uiPriority w:val="0"/>
    <w:pPr>
      <w:spacing w:before="0" w:afterLines="50" w:line="360" w:lineRule="auto"/>
      <w:ind w:left="0" w:firstLine="0"/>
    </w:pPr>
    <w:rPr>
      <w:rFonts w:ascii="Times New Roman" w:cs="宋体"/>
      <w:bCs/>
      <w:sz w:val="24"/>
    </w:rPr>
  </w:style>
  <w:style w:type="paragraph" w:customStyle="1" w:styleId="169">
    <w:name w:val="目次、标准名称标题"/>
    <w:basedOn w:val="129"/>
    <w:next w:val="1"/>
    <w:qFormat/>
    <w:uiPriority w:val="0"/>
    <w:pPr>
      <w:numPr>
        <w:numId w:val="0"/>
      </w:numPr>
      <w:spacing w:line="460" w:lineRule="exact"/>
    </w:pPr>
  </w:style>
  <w:style w:type="paragraph" w:customStyle="1" w:styleId="170">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71">
    <w:name w:val="Char1 Char Char Char"/>
    <w:basedOn w:val="1"/>
    <w:qFormat/>
    <w:uiPriority w:val="0"/>
    <w:rPr>
      <w:rFonts w:ascii="Tahoma" w:hAnsi="Tahoma"/>
      <w:sz w:val="30"/>
      <w:szCs w:val="30"/>
    </w:rPr>
  </w:style>
  <w:style w:type="paragraph" w:customStyle="1" w:styleId="172">
    <w:name w:val="Char1 Char Char Char Char Char Char1"/>
    <w:basedOn w:val="1"/>
    <w:qFormat/>
    <w:uiPriority w:val="0"/>
    <w:rPr>
      <w:rFonts w:ascii="Tahoma" w:hAnsi="Tahoma"/>
      <w:sz w:val="24"/>
    </w:rPr>
  </w:style>
  <w:style w:type="paragraph" w:customStyle="1" w:styleId="173">
    <w:name w:val="Proposals body"/>
    <w:basedOn w:val="1"/>
    <w:next w:val="1"/>
    <w:qFormat/>
    <w:uiPriority w:val="0"/>
    <w:pPr>
      <w:widowControl/>
      <w:spacing w:line="360" w:lineRule="auto"/>
      <w:jc w:val="left"/>
    </w:pPr>
    <w:rPr>
      <w:rFonts w:ascii="宋体"/>
      <w:snapToGrid w:val="0"/>
      <w:color w:val="000000"/>
      <w:kern w:val="0"/>
      <w:sz w:val="24"/>
    </w:rPr>
  </w:style>
  <w:style w:type="paragraph" w:customStyle="1" w:styleId="174">
    <w:name w:val="xl30"/>
    <w:basedOn w:val="1"/>
    <w:qFormat/>
    <w:uiPriority w:val="0"/>
    <w:pPr>
      <w:widowControl/>
      <w:pBdr>
        <w:bottom w:val="single" w:color="auto" w:sz="4" w:space="0"/>
      </w:pBdr>
      <w:spacing w:before="100" w:beforeAutospacing="1" w:after="100" w:afterAutospacing="1"/>
      <w:jc w:val="center"/>
    </w:pPr>
    <w:rPr>
      <w:rFonts w:ascii="Arial Unicode MS" w:hAnsi="Arial Unicode MS" w:eastAsia="Arial Unicode MS" w:cs="Arial Unicode MS"/>
      <w:kern w:val="0"/>
      <w:sz w:val="22"/>
      <w:szCs w:val="22"/>
      <w:lang w:eastAsia="en-US"/>
    </w:rPr>
  </w:style>
  <w:style w:type="paragraph" w:customStyle="1" w:styleId="175">
    <w:name w:val="正文_15"/>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6">
    <w:name w:val="示例"/>
    <w:next w:val="73"/>
    <w:qFormat/>
    <w:uiPriority w:val="0"/>
    <w:pPr>
      <w:tabs>
        <w:tab w:val="left" w:pos="360"/>
      </w:tabs>
      <w:jc w:val="both"/>
    </w:pPr>
    <w:rPr>
      <w:rFonts w:ascii="宋体" w:hAnsi="Times New Roman" w:eastAsia="宋体" w:cs="Times New Roman"/>
      <w:sz w:val="18"/>
      <w:lang w:val="en-US" w:eastAsia="zh-CN" w:bidi="ar-SA"/>
    </w:rPr>
  </w:style>
  <w:style w:type="paragraph" w:customStyle="1" w:styleId="177">
    <w:name w:val="默认段落字体 Para Char Char Char Char Char Char Char"/>
    <w:basedOn w:val="1"/>
    <w:qFormat/>
    <w:uiPriority w:val="0"/>
    <w:pPr>
      <w:spacing w:line="360" w:lineRule="auto"/>
      <w:ind w:firstLine="200" w:firstLineChars="200"/>
    </w:pPr>
    <w:rPr>
      <w:rFonts w:ascii="Tahoma" w:hAnsi="Tahoma"/>
      <w:sz w:val="24"/>
    </w:rPr>
  </w:style>
  <w:style w:type="paragraph" w:customStyle="1" w:styleId="178">
    <w:name w:val="正文1"/>
    <w:basedOn w:val="1"/>
    <w:qFormat/>
    <w:uiPriority w:val="0"/>
    <w:pPr>
      <w:spacing w:line="360" w:lineRule="exact"/>
    </w:pPr>
    <w:rPr>
      <w:rFonts w:ascii="宋体" w:hAnsi="宋体"/>
      <w:szCs w:val="24"/>
    </w:rPr>
  </w:style>
  <w:style w:type="paragraph" w:customStyle="1" w:styleId="179">
    <w:name w:val="附录性质"/>
    <w:basedOn w:val="1"/>
    <w:qFormat/>
    <w:uiPriority w:val="0"/>
    <w:pPr>
      <w:jc w:val="center"/>
    </w:pPr>
    <w:rPr>
      <w:rFonts w:ascii="黑体" w:eastAsia="黑体"/>
      <w:szCs w:val="24"/>
    </w:rPr>
  </w:style>
  <w:style w:type="paragraph" w:customStyle="1" w:styleId="18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81">
    <w:name w:val="正文图标题"/>
    <w:next w:val="73"/>
    <w:qFormat/>
    <w:uiPriority w:val="0"/>
    <w:pPr>
      <w:tabs>
        <w:tab w:val="left" w:pos="360"/>
      </w:tabs>
      <w:jc w:val="center"/>
    </w:pPr>
    <w:rPr>
      <w:rFonts w:ascii="黑体" w:hAnsi="Times New Roman" w:eastAsia="黑体" w:cs="Times New Roman"/>
      <w:sz w:val="21"/>
      <w:lang w:val="en-US" w:eastAsia="zh-CN" w:bidi="ar-SA"/>
    </w:rPr>
  </w:style>
  <w:style w:type="paragraph" w:customStyle="1" w:styleId="182">
    <w:name w:val="Char Char Char Char1"/>
    <w:basedOn w:val="1"/>
    <w:qFormat/>
    <w:uiPriority w:val="0"/>
    <w:pPr>
      <w:spacing w:line="360" w:lineRule="auto"/>
      <w:ind w:firstLine="200" w:firstLineChars="200"/>
    </w:pPr>
    <w:rPr>
      <w:rFonts w:ascii="Tahoma" w:hAnsi="Tahoma"/>
      <w:sz w:val="24"/>
      <w:szCs w:val="24"/>
    </w:rPr>
  </w:style>
  <w:style w:type="paragraph" w:customStyle="1" w:styleId="183">
    <w:name w:val="缺省文本"/>
    <w:basedOn w:val="1"/>
    <w:qFormat/>
    <w:uiPriority w:val="0"/>
    <w:pPr>
      <w:autoSpaceDE w:val="0"/>
      <w:autoSpaceDN w:val="0"/>
      <w:adjustRightInd w:val="0"/>
      <w:jc w:val="left"/>
    </w:pPr>
    <w:rPr>
      <w:kern w:val="0"/>
      <w:sz w:val="24"/>
      <w:szCs w:val="24"/>
    </w:rPr>
  </w:style>
  <w:style w:type="paragraph" w:customStyle="1" w:styleId="184">
    <w:name w:val="Char2 Char Char Char Char Char"/>
    <w:basedOn w:val="1"/>
    <w:qFormat/>
    <w:uiPriority w:val="0"/>
    <w:rPr>
      <w:rFonts w:ascii="Tahoma" w:hAnsi="Tahoma"/>
      <w:sz w:val="24"/>
    </w:rPr>
  </w:style>
  <w:style w:type="paragraph" w:customStyle="1" w:styleId="18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86">
    <w:name w:val="Char Char Char Char Char Char Char Char Char Char Char Char Char1 Char"/>
    <w:basedOn w:val="1"/>
    <w:qFormat/>
    <w:uiPriority w:val="0"/>
    <w:rPr>
      <w:rFonts w:ascii="Tahoma" w:hAnsi="Tahoma"/>
      <w:sz w:val="24"/>
      <w:szCs w:val="24"/>
    </w:rPr>
  </w:style>
  <w:style w:type="paragraph" w:customStyle="1" w:styleId="187">
    <w:name w:val="Char Char Char Char Char Char Char Char Char Char"/>
    <w:basedOn w:val="1"/>
    <w:qFormat/>
    <w:uiPriority w:val="0"/>
    <w:rPr>
      <w:rFonts w:ascii="Tahoma" w:hAnsi="Tahoma"/>
      <w:sz w:val="24"/>
    </w:rPr>
  </w:style>
  <w:style w:type="paragraph" w:customStyle="1" w:styleId="188">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89">
    <w:name w:val="Char1"/>
    <w:basedOn w:val="1"/>
    <w:qFormat/>
    <w:uiPriority w:val="0"/>
    <w:rPr>
      <w:rFonts w:ascii="Tahoma" w:hAnsi="Tahoma"/>
      <w:sz w:val="24"/>
    </w:rPr>
  </w:style>
  <w:style w:type="paragraph" w:customStyle="1" w:styleId="190">
    <w:name w:val="Char Char6 Char Char"/>
    <w:basedOn w:val="1"/>
    <w:qFormat/>
    <w:uiPriority w:val="0"/>
    <w:pPr>
      <w:tabs>
        <w:tab w:val="right" w:pos="-2120"/>
      </w:tabs>
      <w:snapToGrid w:val="0"/>
    </w:pPr>
    <w:rPr>
      <w:rFonts w:ascii="Tahoma" w:hAnsi="Tahoma"/>
      <w:spacing w:val="6"/>
      <w:sz w:val="24"/>
    </w:rPr>
  </w:style>
  <w:style w:type="paragraph" w:customStyle="1" w:styleId="191">
    <w:name w:val="五级无标题条"/>
    <w:basedOn w:val="1"/>
    <w:qFormat/>
    <w:uiPriority w:val="0"/>
    <w:rPr>
      <w:szCs w:val="24"/>
    </w:rPr>
  </w:style>
  <w:style w:type="paragraph" w:customStyle="1" w:styleId="192">
    <w:name w:val="无标题条"/>
    <w:next w:val="73"/>
    <w:qFormat/>
    <w:uiPriority w:val="0"/>
    <w:pPr>
      <w:jc w:val="both"/>
    </w:pPr>
    <w:rPr>
      <w:rFonts w:ascii="Times New Roman" w:hAnsi="Times New Roman" w:eastAsia="宋体" w:cs="Times New Roman"/>
      <w:sz w:val="21"/>
      <w:lang w:val="en-US" w:eastAsia="zh-CN" w:bidi="ar-SA"/>
    </w:rPr>
  </w:style>
  <w:style w:type="paragraph" w:customStyle="1" w:styleId="193">
    <w:name w:val="样式2"/>
    <w:basedOn w:val="16"/>
    <w:qFormat/>
    <w:uiPriority w:val="0"/>
    <w:pPr>
      <w:spacing w:line="500" w:lineRule="exact"/>
      <w:jc w:val="center"/>
    </w:pPr>
    <w:rPr>
      <w:rFonts w:ascii="宋体" w:hAnsi="宋体"/>
      <w:b/>
      <w:kern w:val="44"/>
      <w:sz w:val="32"/>
      <w:szCs w:val="32"/>
      <w:lang w:val="en-GB"/>
    </w:rPr>
  </w:style>
  <w:style w:type="paragraph" w:customStyle="1" w:styleId="194">
    <w:name w:val="标准文本"/>
    <w:basedOn w:val="1"/>
    <w:qFormat/>
    <w:uiPriority w:val="0"/>
    <w:pPr>
      <w:spacing w:line="360" w:lineRule="auto"/>
      <w:ind w:firstLine="480" w:firstLineChars="200"/>
    </w:pPr>
    <w:rPr>
      <w:rFonts w:cs="宋体"/>
      <w:sz w:val="24"/>
    </w:rPr>
  </w:style>
  <w:style w:type="paragraph" w:customStyle="1" w:styleId="195">
    <w:name w:val="标准"/>
    <w:basedOn w:val="1"/>
    <w:qFormat/>
    <w:uiPriority w:val="0"/>
    <w:pPr>
      <w:spacing w:line="360" w:lineRule="auto"/>
      <w:ind w:firstLine="200" w:firstLineChars="200"/>
    </w:pPr>
    <w:rPr>
      <w:rFonts w:cs="宋体"/>
    </w:rPr>
  </w:style>
  <w:style w:type="paragraph" w:customStyle="1" w:styleId="196">
    <w:name w:val="列出段落1"/>
    <w:basedOn w:val="1"/>
    <w:qFormat/>
    <w:uiPriority w:val="0"/>
    <w:pPr>
      <w:ind w:firstLine="200" w:firstLineChars="200"/>
    </w:pPr>
    <w:rPr>
      <w:rFonts w:ascii="Calibri" w:hAnsi="Calibri"/>
      <w:szCs w:val="22"/>
    </w:rPr>
  </w:style>
  <w:style w:type="paragraph" w:styleId="197">
    <w:name w:val="List Paragraph"/>
    <w:basedOn w:val="1"/>
    <w:qFormat/>
    <w:uiPriority w:val="0"/>
    <w:pPr>
      <w:ind w:firstLine="420" w:firstLineChars="200"/>
    </w:pPr>
    <w:rPr>
      <w:szCs w:val="21"/>
    </w:rPr>
  </w:style>
  <w:style w:type="paragraph" w:customStyle="1" w:styleId="198">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99">
    <w:name w:val="Char Char Char Char Char Char Char Char Char Char Char Char Char Char"/>
    <w:basedOn w:val="1"/>
    <w:qFormat/>
    <w:uiPriority w:val="0"/>
    <w:rPr>
      <w:rFonts w:ascii="Tahoma" w:hAnsi="Tahoma"/>
      <w:sz w:val="24"/>
    </w:rPr>
  </w:style>
  <w:style w:type="paragraph" w:customStyle="1" w:styleId="200">
    <w:name w:val="列项·"/>
    <w:qFormat/>
    <w:uiPriority w:val="0"/>
    <w:pPr>
      <w:tabs>
        <w:tab w:val="left" w:pos="360"/>
        <w:tab w:val="left" w:pos="840"/>
      </w:tabs>
      <w:jc w:val="both"/>
    </w:pPr>
    <w:rPr>
      <w:rFonts w:ascii="宋体" w:hAnsi="Times New Roman" w:eastAsia="宋体" w:cs="Times New Roman"/>
      <w:sz w:val="21"/>
      <w:lang w:val="en-US" w:eastAsia="zh-CN" w:bidi="ar-SA"/>
    </w:rPr>
  </w:style>
  <w:style w:type="paragraph" w:customStyle="1" w:styleId="201">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sz w:val="28"/>
    </w:rPr>
  </w:style>
  <w:style w:type="paragraph" w:customStyle="1" w:styleId="202">
    <w:name w:val="附录标识"/>
    <w:basedOn w:val="129"/>
    <w:qFormat/>
    <w:uiPriority w:val="0"/>
    <w:pPr>
      <w:numPr>
        <w:numId w:val="0"/>
      </w:numPr>
      <w:tabs>
        <w:tab w:val="left" w:pos="360"/>
        <w:tab w:val="left" w:pos="6405"/>
      </w:tabs>
      <w:spacing w:after="200"/>
    </w:pPr>
    <w:rPr>
      <w:sz w:val="21"/>
    </w:rPr>
  </w:style>
  <w:style w:type="paragraph" w:customStyle="1" w:styleId="203">
    <w:name w:val="首行缩进"/>
    <w:basedOn w:val="1"/>
    <w:qFormat/>
    <w:uiPriority w:val="0"/>
    <w:pPr>
      <w:ind w:firstLine="480" w:firstLineChars="200"/>
    </w:pPr>
    <w:rPr>
      <w:lang w:val="zh-CN"/>
    </w:rPr>
  </w:style>
  <w:style w:type="paragraph" w:customStyle="1" w:styleId="204">
    <w:name w:val="black1"/>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53"/>
    <customShpInfo spid="_x0000_s2052"/>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12CF81-2136-4A47-9E7A-71166AA0F37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88</Pages>
  <Words>38664</Words>
  <Characters>40362</Characters>
  <Lines>323</Lines>
  <Paragraphs>91</Paragraphs>
  <TotalTime>2</TotalTime>
  <ScaleCrop>false</ScaleCrop>
  <LinksUpToDate>false</LinksUpToDate>
  <CharactersWithSpaces>42295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2023-04-13T01:04:00Z</dcterms:created>
  <dc:creator>微软用户</dc:creator>
  <cp:lastModifiedBy>Administrator</cp:lastModifiedBy>
  <cp:lastPrinted>2022-12-07T07:15:00Z</cp:lastPrinted>
  <dcterms:modified xsi:type="dcterms:W3CDTF">2023-04-19T09:05:34Z</dcterms:modified>
  <dc:title>福建省省级政府采购货物和服务项目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9B30A0D6B374479A9A3F46D23EEED278</vt:lpwstr>
  </property>
</Properties>
</file>