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bCs/>
          <w:color w:val="auto"/>
          <w:sz w:val="72"/>
          <w:szCs w:val="22"/>
          <w:highlight w:val="none"/>
        </w:rPr>
      </w:pPr>
      <w:bookmarkStart w:id="33" w:name="_GoBack"/>
      <w:bookmarkEnd w:id="33"/>
    </w:p>
    <w:p>
      <w:pPr>
        <w:spacing w:line="360" w:lineRule="auto"/>
        <w:jc w:val="center"/>
        <w:rPr>
          <w:rFonts w:hint="eastAsia" w:eastAsia="宋体"/>
          <w:b/>
          <w:bCs/>
          <w:color w:val="auto"/>
          <w:sz w:val="64"/>
          <w:szCs w:val="64"/>
          <w:highlight w:val="none"/>
          <w:lang w:eastAsia="zh-CN"/>
        </w:rPr>
      </w:pPr>
      <w:r>
        <w:rPr>
          <w:rFonts w:hint="eastAsia"/>
          <w:b/>
          <w:bCs/>
          <w:color w:val="auto"/>
          <w:sz w:val="64"/>
          <w:szCs w:val="64"/>
          <w:highlight w:val="none"/>
          <w:lang w:eastAsia="zh-CN"/>
        </w:rPr>
        <w:t>2023年度团体补充医疗保险项目</w:t>
      </w:r>
    </w:p>
    <w:p>
      <w:pPr>
        <w:spacing w:line="360" w:lineRule="auto"/>
        <w:jc w:val="center"/>
        <w:rPr>
          <w:b/>
          <w:bCs/>
          <w:color w:val="auto"/>
          <w:sz w:val="72"/>
          <w:szCs w:val="22"/>
          <w:highlight w:val="none"/>
        </w:rPr>
      </w:pPr>
      <w:r>
        <w:rPr>
          <w:rFonts w:hint="eastAsia"/>
          <w:b/>
          <w:bCs/>
          <w:color w:val="auto"/>
          <w:sz w:val="72"/>
          <w:szCs w:val="22"/>
          <w:highlight w:val="none"/>
        </w:rPr>
        <w:t>竞争性谈判文件</w:t>
      </w:r>
    </w:p>
    <w:p>
      <w:pPr>
        <w:pStyle w:val="11"/>
        <w:spacing w:line="360" w:lineRule="auto"/>
        <w:jc w:val="center"/>
        <w:rPr>
          <w:rFonts w:hint="eastAsia" w:ascii="Times New Roman" w:hAnsi="Times New Roman"/>
          <w:b/>
          <w:color w:val="auto"/>
          <w:sz w:val="28"/>
          <w:highlight w:val="none"/>
        </w:rPr>
      </w:pPr>
    </w:p>
    <w:p>
      <w:pPr>
        <w:pStyle w:val="11"/>
        <w:spacing w:line="360" w:lineRule="auto"/>
        <w:jc w:val="center"/>
        <w:rPr>
          <w:rFonts w:hint="eastAsia" w:ascii="Times New Roman" w:hAnsi="Times New Roman"/>
          <w:b/>
          <w:color w:val="auto"/>
          <w:sz w:val="28"/>
          <w:highlight w:val="none"/>
        </w:rPr>
      </w:pPr>
    </w:p>
    <w:p>
      <w:pPr>
        <w:pStyle w:val="11"/>
        <w:spacing w:line="360" w:lineRule="auto"/>
        <w:jc w:val="center"/>
        <w:rPr>
          <w:rFonts w:hint="eastAsia" w:ascii="Times New Roman" w:hAnsi="Times New Roman"/>
          <w:b/>
          <w:color w:val="auto"/>
          <w:sz w:val="28"/>
          <w:highlight w:val="none"/>
        </w:rPr>
      </w:pPr>
    </w:p>
    <w:p>
      <w:pPr>
        <w:pStyle w:val="11"/>
        <w:spacing w:line="360" w:lineRule="auto"/>
        <w:jc w:val="center"/>
        <w:rPr>
          <w:rFonts w:ascii="Times New Roman" w:hAnsi="Times New Roman"/>
          <w:b/>
          <w:color w:val="auto"/>
          <w:sz w:val="44"/>
          <w:highlight w:val="none"/>
        </w:rPr>
      </w:pPr>
    </w:p>
    <w:p>
      <w:pPr>
        <w:pStyle w:val="11"/>
        <w:spacing w:line="360" w:lineRule="auto"/>
        <w:ind w:firstLine="1928" w:firstLineChars="600"/>
        <w:jc w:val="left"/>
        <w:rPr>
          <w:rFonts w:hint="eastAsia" w:hAnsi="宋体" w:eastAsia="宋体"/>
          <w:b/>
          <w:color w:val="auto"/>
          <w:spacing w:val="20"/>
          <w:sz w:val="32"/>
          <w:szCs w:val="22"/>
          <w:highlight w:val="none"/>
          <w:lang w:eastAsia="zh-CN"/>
        </w:rPr>
      </w:pPr>
      <w:r>
        <w:rPr>
          <w:rFonts w:hint="eastAsia" w:ascii="Times New Roman" w:hAnsi="Times New Roman"/>
          <w:b/>
          <w:bCs/>
          <w:color w:val="auto"/>
          <w:sz w:val="32"/>
          <w:highlight w:val="none"/>
        </w:rPr>
        <w:t>项目编号：</w:t>
      </w:r>
      <w:r>
        <w:rPr>
          <w:rFonts w:hint="eastAsia" w:hAnsi="宋体"/>
          <w:b/>
          <w:color w:val="auto"/>
          <w:spacing w:val="20"/>
          <w:sz w:val="32"/>
          <w:szCs w:val="22"/>
          <w:highlight w:val="none"/>
          <w:lang w:eastAsia="zh-CN"/>
        </w:rPr>
        <w:t>NDYXCQ[TP]2022049（1）</w:t>
      </w:r>
    </w:p>
    <w:p>
      <w:pPr>
        <w:pStyle w:val="11"/>
        <w:spacing w:line="360" w:lineRule="auto"/>
        <w:ind w:firstLine="1928" w:firstLineChars="600"/>
        <w:rPr>
          <w:rFonts w:hint="eastAsia" w:ascii="Times New Roman" w:hAnsi="Times New Roman" w:eastAsia="宋体"/>
          <w:b/>
          <w:bCs/>
          <w:color w:val="auto"/>
          <w:sz w:val="32"/>
          <w:highlight w:val="none"/>
          <w:lang w:eastAsia="zh-CN"/>
        </w:rPr>
      </w:pPr>
      <w:r>
        <w:rPr>
          <w:rFonts w:hint="eastAsia" w:ascii="Times New Roman" w:hAnsi="Times New Roman"/>
          <w:b/>
          <w:bCs/>
          <w:color w:val="auto"/>
          <w:sz w:val="32"/>
          <w:highlight w:val="none"/>
        </w:rPr>
        <w:t>项目名称：</w:t>
      </w:r>
      <w:r>
        <w:rPr>
          <w:rFonts w:hint="eastAsia" w:ascii="Times New Roman" w:hAnsi="Times New Roman"/>
          <w:b/>
          <w:bCs/>
          <w:color w:val="auto"/>
          <w:sz w:val="32"/>
          <w:highlight w:val="none"/>
          <w:lang w:eastAsia="zh-CN"/>
        </w:rPr>
        <w:t>2023年度团体补充医疗保险项目</w:t>
      </w:r>
    </w:p>
    <w:p>
      <w:pPr>
        <w:pStyle w:val="11"/>
        <w:spacing w:line="360" w:lineRule="auto"/>
        <w:ind w:firstLine="1928" w:firstLineChars="600"/>
        <w:rPr>
          <w:rFonts w:hint="eastAsia" w:ascii="Times New Roman" w:hAnsi="Times New Roman" w:eastAsia="宋体"/>
          <w:b/>
          <w:bCs/>
          <w:color w:val="auto"/>
          <w:sz w:val="32"/>
          <w:highlight w:val="none"/>
          <w:lang w:eastAsia="zh-CN"/>
        </w:rPr>
      </w:pPr>
      <w:r>
        <w:rPr>
          <w:rFonts w:hint="eastAsia" w:ascii="Times New Roman" w:hAnsi="Times New Roman"/>
          <w:b/>
          <w:bCs/>
          <w:color w:val="auto"/>
          <w:sz w:val="32"/>
          <w:highlight w:val="none"/>
        </w:rPr>
        <w:t>采购人：</w:t>
      </w:r>
      <w:r>
        <w:rPr>
          <w:rFonts w:hint="eastAsia" w:ascii="Times New Roman" w:hAnsi="Times New Roman"/>
          <w:b/>
          <w:bCs/>
          <w:color w:val="auto"/>
          <w:sz w:val="32"/>
          <w:highlight w:val="none"/>
          <w:lang w:eastAsia="zh-CN"/>
        </w:rPr>
        <w:t>福建闽东电力股份有限公司</w:t>
      </w:r>
    </w:p>
    <w:p>
      <w:pPr>
        <w:pStyle w:val="11"/>
        <w:spacing w:line="360" w:lineRule="auto"/>
        <w:jc w:val="center"/>
        <w:rPr>
          <w:rFonts w:ascii="Times New Roman" w:hAnsi="Times New Roman"/>
          <w:b/>
          <w:color w:val="auto"/>
          <w:sz w:val="28"/>
          <w:highlight w:val="none"/>
        </w:rPr>
      </w:pPr>
    </w:p>
    <w:p>
      <w:pPr>
        <w:pStyle w:val="11"/>
        <w:spacing w:line="360" w:lineRule="auto"/>
        <w:jc w:val="center"/>
        <w:rPr>
          <w:rFonts w:hint="eastAsia" w:ascii="Times New Roman" w:hAnsi="Times New Roman"/>
          <w:b/>
          <w:color w:val="auto"/>
          <w:sz w:val="28"/>
          <w:highlight w:val="none"/>
        </w:rPr>
      </w:pPr>
    </w:p>
    <w:p>
      <w:pPr>
        <w:pStyle w:val="11"/>
        <w:spacing w:line="360" w:lineRule="auto"/>
        <w:jc w:val="center"/>
        <w:rPr>
          <w:rFonts w:hint="eastAsia" w:ascii="Times New Roman" w:hAnsi="Times New Roman"/>
          <w:b/>
          <w:color w:val="auto"/>
          <w:sz w:val="28"/>
          <w:highlight w:val="none"/>
        </w:rPr>
      </w:pPr>
    </w:p>
    <w:p>
      <w:pPr>
        <w:pStyle w:val="11"/>
        <w:spacing w:line="360" w:lineRule="auto"/>
        <w:jc w:val="center"/>
        <w:rPr>
          <w:rFonts w:hint="eastAsia" w:ascii="Times New Roman" w:hAnsi="Times New Roman"/>
          <w:b/>
          <w:color w:val="auto"/>
          <w:sz w:val="28"/>
          <w:highlight w:val="none"/>
        </w:rPr>
      </w:pPr>
    </w:p>
    <w:p>
      <w:pPr>
        <w:pStyle w:val="11"/>
        <w:spacing w:line="360" w:lineRule="auto"/>
        <w:jc w:val="center"/>
        <w:rPr>
          <w:rFonts w:hint="eastAsia" w:ascii="Times New Roman" w:hAnsi="Times New Roman"/>
          <w:b/>
          <w:color w:val="auto"/>
          <w:sz w:val="28"/>
          <w:highlight w:val="none"/>
        </w:rPr>
      </w:pPr>
    </w:p>
    <w:p>
      <w:pPr>
        <w:pStyle w:val="11"/>
        <w:spacing w:line="360" w:lineRule="auto"/>
        <w:jc w:val="center"/>
        <w:rPr>
          <w:rFonts w:hint="eastAsia" w:ascii="Times New Roman" w:hAnsi="Times New Roman"/>
          <w:b/>
          <w:bCs/>
          <w:color w:val="auto"/>
          <w:sz w:val="32"/>
          <w:highlight w:val="none"/>
        </w:rPr>
      </w:pPr>
      <w:r>
        <w:rPr>
          <w:rFonts w:hint="eastAsia" w:ascii="Times New Roman" w:hAnsi="Times New Roman"/>
          <w:b/>
          <w:bCs/>
          <w:color w:val="auto"/>
          <w:sz w:val="32"/>
          <w:highlight w:val="none"/>
        </w:rPr>
        <w:t>宁德市有信产权交易服务有限公司</w:t>
      </w:r>
    </w:p>
    <w:p>
      <w:pPr>
        <w:pStyle w:val="11"/>
        <w:spacing w:line="360" w:lineRule="auto"/>
        <w:jc w:val="center"/>
        <w:rPr>
          <w:rFonts w:ascii="Times New Roman" w:hAnsi="Times New Roman"/>
          <w:b/>
          <w:bCs/>
          <w:color w:val="auto"/>
          <w:sz w:val="32"/>
          <w:highlight w:val="none"/>
        </w:rPr>
      </w:pPr>
      <w:bookmarkStart w:id="0" w:name="_Toc321391838"/>
      <w:bookmarkStart w:id="1" w:name="_Toc321913861"/>
      <w:bookmarkStart w:id="2" w:name="_Toc484764774"/>
      <w:bookmarkStart w:id="3" w:name="_Toc464199594"/>
      <w:bookmarkStart w:id="4" w:name="_Toc425529155"/>
      <w:bookmarkStart w:id="5" w:name="_Toc416343236"/>
      <w:r>
        <w:rPr>
          <w:rFonts w:ascii="Times New Roman" w:hAnsi="Times New Roman"/>
          <w:b/>
          <w:bCs/>
          <w:color w:val="auto"/>
          <w:sz w:val="32"/>
          <w:highlight w:val="none"/>
        </w:rPr>
        <w:t>20</w:t>
      </w:r>
      <w:r>
        <w:rPr>
          <w:rFonts w:hint="eastAsia" w:ascii="Times New Roman" w:hAnsi="Times New Roman"/>
          <w:b/>
          <w:bCs/>
          <w:color w:val="auto"/>
          <w:sz w:val="32"/>
          <w:highlight w:val="none"/>
          <w:lang w:val="en-US" w:eastAsia="zh-CN"/>
        </w:rPr>
        <w:t>22</w:t>
      </w:r>
      <w:r>
        <w:rPr>
          <w:rFonts w:hint="eastAsia" w:ascii="Times New Roman" w:hAnsi="Times New Roman"/>
          <w:b/>
          <w:bCs/>
          <w:color w:val="auto"/>
          <w:sz w:val="32"/>
          <w:highlight w:val="none"/>
        </w:rPr>
        <w:t>年</w:t>
      </w:r>
      <w:r>
        <w:rPr>
          <w:rFonts w:hint="eastAsia" w:ascii="Times New Roman" w:hAnsi="Times New Roman"/>
          <w:b/>
          <w:bCs/>
          <w:color w:val="auto"/>
          <w:sz w:val="32"/>
          <w:highlight w:val="none"/>
          <w:lang w:val="en-US" w:eastAsia="zh-CN"/>
        </w:rPr>
        <w:t>12</w:t>
      </w:r>
      <w:r>
        <w:rPr>
          <w:rFonts w:hint="eastAsia" w:ascii="Times New Roman" w:hAnsi="Times New Roman"/>
          <w:b/>
          <w:bCs/>
          <w:color w:val="auto"/>
          <w:sz w:val="32"/>
          <w:highlight w:val="none"/>
        </w:rPr>
        <w:t>月</w:t>
      </w:r>
      <w:bookmarkEnd w:id="0"/>
      <w:bookmarkEnd w:id="1"/>
      <w:bookmarkEnd w:id="2"/>
      <w:bookmarkEnd w:id="3"/>
      <w:bookmarkEnd w:id="4"/>
      <w:bookmarkEnd w:id="5"/>
    </w:p>
    <w:p>
      <w:pPr>
        <w:pStyle w:val="11"/>
        <w:spacing w:line="360" w:lineRule="auto"/>
        <w:jc w:val="center"/>
        <w:rPr>
          <w:rFonts w:ascii="Times New Roman" w:hAnsi="Times New Roman"/>
          <w:b/>
          <w:bCs/>
          <w:color w:val="auto"/>
          <w:sz w:val="32"/>
          <w:highlight w:val="none"/>
        </w:rPr>
      </w:pPr>
    </w:p>
    <w:p>
      <w:pPr>
        <w:pStyle w:val="11"/>
        <w:spacing w:line="360" w:lineRule="auto"/>
        <w:jc w:val="center"/>
        <w:rPr>
          <w:rFonts w:ascii="Times New Roman" w:hAnsi="Times New Roman"/>
          <w:b/>
          <w:bCs/>
          <w:color w:val="auto"/>
          <w:sz w:val="32"/>
          <w:highlight w:val="none"/>
        </w:rPr>
      </w:pPr>
    </w:p>
    <w:p>
      <w:pPr>
        <w:spacing w:line="360" w:lineRule="auto"/>
        <w:jc w:val="center"/>
        <w:rPr>
          <w:rFonts w:hint="eastAsia"/>
          <w:color w:val="auto"/>
          <w:sz w:val="36"/>
          <w:szCs w:val="36"/>
          <w:highlight w:val="none"/>
        </w:rPr>
      </w:pPr>
    </w:p>
    <w:p>
      <w:pPr>
        <w:spacing w:line="360" w:lineRule="auto"/>
        <w:rPr>
          <w:rFonts w:hint="eastAsia"/>
          <w:color w:val="auto"/>
          <w:sz w:val="36"/>
          <w:szCs w:val="36"/>
          <w:highlight w:val="none"/>
        </w:rPr>
      </w:pPr>
    </w:p>
    <w:p>
      <w:pPr>
        <w:rPr>
          <w:color w:val="auto"/>
          <w:highlight w:val="none"/>
        </w:rPr>
      </w:pPr>
    </w:p>
    <w:p>
      <w:pPr>
        <w:pStyle w:val="31"/>
        <w:jc w:val="center"/>
        <w:rPr>
          <w:color w:val="auto"/>
          <w:sz w:val="44"/>
          <w:szCs w:val="44"/>
          <w:highlight w:val="none"/>
          <w:lang w:val="zh-CN"/>
        </w:rPr>
      </w:pPr>
      <w:r>
        <w:rPr>
          <w:color w:val="auto"/>
          <w:sz w:val="44"/>
          <w:szCs w:val="44"/>
          <w:highlight w:val="none"/>
          <w:lang w:val="zh-CN"/>
        </w:rPr>
        <w:t>目录</w:t>
      </w:r>
    </w:p>
    <w:p>
      <w:pPr>
        <w:rPr>
          <w:color w:val="auto"/>
          <w:highlight w:val="none"/>
        </w:rPr>
      </w:pPr>
    </w:p>
    <w:p>
      <w:pPr>
        <w:pStyle w:val="14"/>
        <w:tabs>
          <w:tab w:val="right" w:leader="dot" w:pos="8296"/>
        </w:tabs>
        <w:spacing w:line="720" w:lineRule="auto"/>
        <w:jc w:val="center"/>
        <w:rPr>
          <w:color w:val="auto"/>
          <w:sz w:val="36"/>
          <w:szCs w:val="36"/>
          <w:highlight w:val="none"/>
        </w:rPr>
      </w:pPr>
      <w:r>
        <w:rPr>
          <w:color w:val="auto"/>
          <w:sz w:val="32"/>
          <w:szCs w:val="32"/>
          <w:highlight w:val="none"/>
        </w:rPr>
        <w:fldChar w:fldCharType="begin"/>
      </w:r>
      <w:r>
        <w:rPr>
          <w:color w:val="auto"/>
          <w:sz w:val="32"/>
          <w:szCs w:val="32"/>
          <w:highlight w:val="none"/>
        </w:rPr>
        <w:instrText xml:space="preserve"> TOC \o "1-3" \h \z \u </w:instrText>
      </w:r>
      <w:r>
        <w:rPr>
          <w:color w:val="auto"/>
          <w:sz w:val="32"/>
          <w:szCs w:val="32"/>
          <w:highlight w:val="none"/>
        </w:rPr>
        <w:fldChar w:fldCharType="separate"/>
      </w:r>
      <w:r>
        <w:rPr>
          <w:color w:val="auto"/>
          <w:sz w:val="36"/>
          <w:szCs w:val="36"/>
          <w:highlight w:val="none"/>
        </w:rPr>
        <w:fldChar w:fldCharType="begin"/>
      </w:r>
      <w:r>
        <w:rPr>
          <w:rStyle w:val="23"/>
          <w:color w:val="auto"/>
          <w:sz w:val="36"/>
          <w:szCs w:val="36"/>
          <w:highlight w:val="none"/>
        </w:rPr>
        <w:instrText xml:space="preserve"> </w:instrText>
      </w:r>
      <w:r>
        <w:rPr>
          <w:color w:val="auto"/>
          <w:sz w:val="36"/>
          <w:szCs w:val="36"/>
          <w:highlight w:val="none"/>
        </w:rPr>
        <w:instrText xml:space="preserve">HYPERLINK \l "_Toc3991771"</w:instrText>
      </w:r>
      <w:r>
        <w:rPr>
          <w:rStyle w:val="23"/>
          <w:color w:val="auto"/>
          <w:sz w:val="36"/>
          <w:szCs w:val="36"/>
          <w:highlight w:val="none"/>
        </w:rPr>
        <w:instrText xml:space="preserve"> </w:instrText>
      </w:r>
      <w:r>
        <w:rPr>
          <w:color w:val="auto"/>
          <w:sz w:val="36"/>
          <w:szCs w:val="36"/>
          <w:highlight w:val="none"/>
        </w:rPr>
        <w:fldChar w:fldCharType="separate"/>
      </w:r>
      <w:r>
        <w:rPr>
          <w:rStyle w:val="23"/>
          <w:rFonts w:hint="eastAsia"/>
          <w:color w:val="auto"/>
          <w:kern w:val="0"/>
          <w:sz w:val="36"/>
          <w:szCs w:val="36"/>
          <w:highlight w:val="none"/>
        </w:rPr>
        <w:t>第一章</w:t>
      </w:r>
      <w:r>
        <w:rPr>
          <w:rStyle w:val="23"/>
          <w:color w:val="auto"/>
          <w:kern w:val="0"/>
          <w:sz w:val="36"/>
          <w:szCs w:val="36"/>
          <w:highlight w:val="none"/>
        </w:rPr>
        <w:t xml:space="preserve">  </w:t>
      </w:r>
      <w:r>
        <w:rPr>
          <w:rStyle w:val="23"/>
          <w:rFonts w:hint="eastAsia"/>
          <w:color w:val="auto"/>
          <w:kern w:val="0"/>
          <w:sz w:val="36"/>
          <w:szCs w:val="36"/>
          <w:highlight w:val="none"/>
        </w:rPr>
        <w:t>采购公告</w:t>
      </w:r>
      <w:r>
        <w:rPr>
          <w:rStyle w:val="23"/>
          <w:color w:val="auto"/>
          <w:kern w:val="0"/>
          <w:sz w:val="36"/>
          <w:szCs w:val="36"/>
          <w:highlight w:val="none"/>
        </w:rPr>
        <w:t>/</w:t>
      </w:r>
      <w:r>
        <w:rPr>
          <w:rStyle w:val="23"/>
          <w:rFonts w:hint="eastAsia"/>
          <w:color w:val="auto"/>
          <w:kern w:val="0"/>
          <w:sz w:val="36"/>
          <w:szCs w:val="36"/>
          <w:highlight w:val="none"/>
        </w:rPr>
        <w:t>采购邀请书</w:t>
      </w:r>
      <w:r>
        <w:rPr>
          <w:color w:val="auto"/>
          <w:sz w:val="36"/>
          <w:szCs w:val="36"/>
          <w:highlight w:val="none"/>
        </w:rPr>
        <w:tab/>
      </w:r>
      <w:r>
        <w:rPr>
          <w:color w:val="auto"/>
          <w:sz w:val="36"/>
          <w:szCs w:val="36"/>
          <w:highlight w:val="none"/>
        </w:rPr>
        <w:fldChar w:fldCharType="begin"/>
      </w:r>
      <w:r>
        <w:rPr>
          <w:color w:val="auto"/>
          <w:sz w:val="36"/>
          <w:szCs w:val="36"/>
          <w:highlight w:val="none"/>
        </w:rPr>
        <w:instrText xml:space="preserve"> PAGEREF _Toc3991771 \h </w:instrText>
      </w:r>
      <w:r>
        <w:rPr>
          <w:color w:val="auto"/>
          <w:sz w:val="36"/>
          <w:szCs w:val="36"/>
          <w:highlight w:val="none"/>
        </w:rPr>
        <w:fldChar w:fldCharType="separate"/>
      </w:r>
      <w:r>
        <w:rPr>
          <w:color w:val="auto"/>
          <w:sz w:val="36"/>
          <w:szCs w:val="36"/>
          <w:highlight w:val="none"/>
        </w:rPr>
        <w:t>3</w:t>
      </w:r>
      <w:r>
        <w:rPr>
          <w:color w:val="auto"/>
          <w:sz w:val="36"/>
          <w:szCs w:val="36"/>
          <w:highlight w:val="none"/>
        </w:rPr>
        <w:fldChar w:fldCharType="end"/>
      </w:r>
      <w:r>
        <w:rPr>
          <w:color w:val="auto"/>
          <w:sz w:val="36"/>
          <w:szCs w:val="36"/>
          <w:highlight w:val="none"/>
        </w:rPr>
        <w:fldChar w:fldCharType="end"/>
      </w:r>
    </w:p>
    <w:p>
      <w:pPr>
        <w:pStyle w:val="14"/>
        <w:tabs>
          <w:tab w:val="right" w:leader="dot" w:pos="8296"/>
        </w:tabs>
        <w:spacing w:line="720" w:lineRule="auto"/>
        <w:jc w:val="center"/>
        <w:rPr>
          <w:color w:val="auto"/>
          <w:sz w:val="36"/>
          <w:szCs w:val="36"/>
          <w:highlight w:val="none"/>
        </w:rPr>
      </w:pPr>
      <w:r>
        <w:rPr>
          <w:color w:val="auto"/>
          <w:sz w:val="36"/>
          <w:szCs w:val="36"/>
          <w:highlight w:val="none"/>
        </w:rPr>
        <w:fldChar w:fldCharType="begin"/>
      </w:r>
      <w:r>
        <w:rPr>
          <w:rStyle w:val="23"/>
          <w:color w:val="auto"/>
          <w:sz w:val="36"/>
          <w:szCs w:val="36"/>
          <w:highlight w:val="none"/>
        </w:rPr>
        <w:instrText xml:space="preserve"> </w:instrText>
      </w:r>
      <w:r>
        <w:rPr>
          <w:color w:val="auto"/>
          <w:sz w:val="36"/>
          <w:szCs w:val="36"/>
          <w:highlight w:val="none"/>
        </w:rPr>
        <w:instrText xml:space="preserve">HYPERLINK \l "_Toc3991772"</w:instrText>
      </w:r>
      <w:r>
        <w:rPr>
          <w:rStyle w:val="23"/>
          <w:color w:val="auto"/>
          <w:sz w:val="36"/>
          <w:szCs w:val="36"/>
          <w:highlight w:val="none"/>
        </w:rPr>
        <w:instrText xml:space="preserve"> </w:instrText>
      </w:r>
      <w:r>
        <w:rPr>
          <w:color w:val="auto"/>
          <w:sz w:val="36"/>
          <w:szCs w:val="36"/>
          <w:highlight w:val="none"/>
        </w:rPr>
        <w:fldChar w:fldCharType="separate"/>
      </w:r>
      <w:r>
        <w:rPr>
          <w:rStyle w:val="23"/>
          <w:rFonts w:hint="eastAsia"/>
          <w:color w:val="auto"/>
          <w:kern w:val="0"/>
          <w:sz w:val="36"/>
          <w:szCs w:val="36"/>
          <w:highlight w:val="none"/>
        </w:rPr>
        <w:t>第二章</w:t>
      </w:r>
      <w:r>
        <w:rPr>
          <w:rStyle w:val="23"/>
          <w:color w:val="auto"/>
          <w:kern w:val="0"/>
          <w:sz w:val="36"/>
          <w:szCs w:val="36"/>
          <w:highlight w:val="none"/>
        </w:rPr>
        <w:t xml:space="preserve">  </w:t>
      </w:r>
      <w:r>
        <w:rPr>
          <w:rStyle w:val="23"/>
          <w:rFonts w:hint="eastAsia"/>
          <w:color w:val="auto"/>
          <w:kern w:val="0"/>
          <w:sz w:val="36"/>
          <w:szCs w:val="36"/>
          <w:highlight w:val="none"/>
        </w:rPr>
        <w:t>竞争性谈判须知</w:t>
      </w:r>
      <w:r>
        <w:rPr>
          <w:color w:val="auto"/>
          <w:sz w:val="36"/>
          <w:szCs w:val="36"/>
          <w:highlight w:val="none"/>
        </w:rPr>
        <w:tab/>
      </w:r>
      <w:r>
        <w:rPr>
          <w:rFonts w:hint="eastAsia"/>
          <w:color w:val="auto"/>
          <w:sz w:val="36"/>
          <w:szCs w:val="36"/>
          <w:highlight w:val="none"/>
        </w:rPr>
        <w:t>6</w:t>
      </w:r>
      <w:r>
        <w:rPr>
          <w:color w:val="auto"/>
          <w:sz w:val="36"/>
          <w:szCs w:val="36"/>
          <w:highlight w:val="none"/>
        </w:rPr>
        <w:fldChar w:fldCharType="end"/>
      </w:r>
    </w:p>
    <w:p>
      <w:pPr>
        <w:pStyle w:val="14"/>
        <w:tabs>
          <w:tab w:val="right" w:leader="dot" w:pos="8296"/>
        </w:tabs>
        <w:spacing w:line="720" w:lineRule="auto"/>
        <w:jc w:val="center"/>
        <w:rPr>
          <w:color w:val="auto"/>
          <w:sz w:val="36"/>
          <w:szCs w:val="36"/>
          <w:highlight w:val="none"/>
        </w:rPr>
      </w:pPr>
      <w:r>
        <w:rPr>
          <w:color w:val="auto"/>
          <w:sz w:val="36"/>
          <w:szCs w:val="36"/>
          <w:highlight w:val="none"/>
        </w:rPr>
        <w:fldChar w:fldCharType="begin"/>
      </w:r>
      <w:r>
        <w:rPr>
          <w:rStyle w:val="23"/>
          <w:color w:val="auto"/>
          <w:sz w:val="36"/>
          <w:szCs w:val="36"/>
          <w:highlight w:val="none"/>
        </w:rPr>
        <w:instrText xml:space="preserve"> </w:instrText>
      </w:r>
      <w:r>
        <w:rPr>
          <w:color w:val="auto"/>
          <w:sz w:val="36"/>
          <w:szCs w:val="36"/>
          <w:highlight w:val="none"/>
        </w:rPr>
        <w:instrText xml:space="preserve">HYPERLINK \l "_Toc3991773"</w:instrText>
      </w:r>
      <w:r>
        <w:rPr>
          <w:rStyle w:val="23"/>
          <w:color w:val="auto"/>
          <w:sz w:val="36"/>
          <w:szCs w:val="36"/>
          <w:highlight w:val="none"/>
        </w:rPr>
        <w:instrText xml:space="preserve"> </w:instrText>
      </w:r>
      <w:r>
        <w:rPr>
          <w:color w:val="auto"/>
          <w:sz w:val="36"/>
          <w:szCs w:val="36"/>
          <w:highlight w:val="none"/>
        </w:rPr>
        <w:fldChar w:fldCharType="separate"/>
      </w:r>
      <w:r>
        <w:rPr>
          <w:rStyle w:val="23"/>
          <w:rFonts w:hint="eastAsia"/>
          <w:color w:val="auto"/>
          <w:sz w:val="36"/>
          <w:szCs w:val="36"/>
          <w:highlight w:val="none"/>
        </w:rPr>
        <w:t>第三章</w:t>
      </w:r>
      <w:r>
        <w:rPr>
          <w:rStyle w:val="23"/>
          <w:color w:val="auto"/>
          <w:sz w:val="36"/>
          <w:szCs w:val="36"/>
          <w:highlight w:val="none"/>
        </w:rPr>
        <w:t xml:space="preserve">  </w:t>
      </w:r>
      <w:r>
        <w:rPr>
          <w:rStyle w:val="23"/>
          <w:rFonts w:hint="eastAsia"/>
          <w:color w:val="auto"/>
          <w:sz w:val="36"/>
          <w:szCs w:val="36"/>
          <w:highlight w:val="none"/>
        </w:rPr>
        <w:t>采购内容及要求</w:t>
      </w:r>
      <w:r>
        <w:rPr>
          <w:color w:val="auto"/>
          <w:sz w:val="36"/>
          <w:szCs w:val="36"/>
          <w:highlight w:val="none"/>
        </w:rPr>
        <w:tab/>
      </w:r>
      <w:r>
        <w:rPr>
          <w:rFonts w:hint="eastAsia"/>
          <w:color w:val="auto"/>
          <w:sz w:val="36"/>
          <w:szCs w:val="36"/>
          <w:highlight w:val="none"/>
        </w:rPr>
        <w:t>26</w:t>
      </w:r>
      <w:r>
        <w:rPr>
          <w:color w:val="auto"/>
          <w:sz w:val="36"/>
          <w:szCs w:val="36"/>
          <w:highlight w:val="none"/>
        </w:rPr>
        <w:fldChar w:fldCharType="end"/>
      </w:r>
    </w:p>
    <w:p>
      <w:pPr>
        <w:pStyle w:val="14"/>
        <w:tabs>
          <w:tab w:val="right" w:leader="dot" w:pos="8296"/>
        </w:tabs>
        <w:spacing w:line="720" w:lineRule="auto"/>
        <w:jc w:val="center"/>
        <w:rPr>
          <w:color w:val="auto"/>
          <w:sz w:val="36"/>
          <w:szCs w:val="36"/>
          <w:highlight w:val="none"/>
        </w:rPr>
      </w:pPr>
      <w:r>
        <w:rPr>
          <w:color w:val="auto"/>
          <w:sz w:val="36"/>
          <w:szCs w:val="36"/>
          <w:highlight w:val="none"/>
        </w:rPr>
        <w:fldChar w:fldCharType="begin"/>
      </w:r>
      <w:r>
        <w:rPr>
          <w:rStyle w:val="23"/>
          <w:color w:val="auto"/>
          <w:sz w:val="36"/>
          <w:szCs w:val="36"/>
          <w:highlight w:val="none"/>
        </w:rPr>
        <w:instrText xml:space="preserve"> </w:instrText>
      </w:r>
      <w:r>
        <w:rPr>
          <w:color w:val="auto"/>
          <w:sz w:val="36"/>
          <w:szCs w:val="36"/>
          <w:highlight w:val="none"/>
        </w:rPr>
        <w:instrText xml:space="preserve">HYPERLINK \l "_Toc3991775"</w:instrText>
      </w:r>
      <w:r>
        <w:rPr>
          <w:rStyle w:val="23"/>
          <w:color w:val="auto"/>
          <w:sz w:val="36"/>
          <w:szCs w:val="36"/>
          <w:highlight w:val="none"/>
        </w:rPr>
        <w:instrText xml:space="preserve"> </w:instrText>
      </w:r>
      <w:r>
        <w:rPr>
          <w:color w:val="auto"/>
          <w:sz w:val="36"/>
          <w:szCs w:val="36"/>
          <w:highlight w:val="none"/>
        </w:rPr>
        <w:fldChar w:fldCharType="separate"/>
      </w:r>
      <w:r>
        <w:rPr>
          <w:rStyle w:val="23"/>
          <w:rFonts w:hint="eastAsia"/>
          <w:color w:val="auto"/>
          <w:kern w:val="0"/>
          <w:sz w:val="36"/>
          <w:szCs w:val="36"/>
          <w:highlight w:val="none"/>
        </w:rPr>
        <w:t>第四章</w:t>
      </w:r>
      <w:r>
        <w:rPr>
          <w:rStyle w:val="23"/>
          <w:color w:val="auto"/>
          <w:kern w:val="0"/>
          <w:sz w:val="36"/>
          <w:szCs w:val="36"/>
          <w:highlight w:val="none"/>
        </w:rPr>
        <w:t xml:space="preserve">  </w:t>
      </w:r>
      <w:r>
        <w:rPr>
          <w:rStyle w:val="23"/>
          <w:rFonts w:hint="eastAsia"/>
          <w:color w:val="auto"/>
          <w:kern w:val="0"/>
          <w:sz w:val="36"/>
          <w:szCs w:val="36"/>
          <w:highlight w:val="none"/>
        </w:rPr>
        <w:t>合同主要条款及格式</w:t>
      </w:r>
      <w:r>
        <w:rPr>
          <w:color w:val="auto"/>
          <w:sz w:val="36"/>
          <w:szCs w:val="36"/>
          <w:highlight w:val="none"/>
        </w:rPr>
        <w:tab/>
      </w:r>
      <w:r>
        <w:rPr>
          <w:rFonts w:hint="eastAsia"/>
          <w:color w:val="auto"/>
          <w:sz w:val="36"/>
          <w:szCs w:val="36"/>
          <w:highlight w:val="none"/>
        </w:rPr>
        <w:t>29</w:t>
      </w:r>
      <w:r>
        <w:rPr>
          <w:color w:val="auto"/>
          <w:sz w:val="36"/>
          <w:szCs w:val="36"/>
          <w:highlight w:val="none"/>
        </w:rPr>
        <w:fldChar w:fldCharType="end"/>
      </w:r>
    </w:p>
    <w:p>
      <w:pPr>
        <w:pStyle w:val="14"/>
        <w:tabs>
          <w:tab w:val="right" w:leader="dot" w:pos="8296"/>
        </w:tabs>
        <w:spacing w:line="720" w:lineRule="auto"/>
        <w:jc w:val="center"/>
        <w:rPr>
          <w:color w:val="auto"/>
          <w:sz w:val="36"/>
          <w:szCs w:val="36"/>
          <w:highlight w:val="none"/>
        </w:rPr>
      </w:pPr>
      <w:r>
        <w:rPr>
          <w:color w:val="auto"/>
          <w:sz w:val="36"/>
          <w:szCs w:val="36"/>
          <w:highlight w:val="none"/>
        </w:rPr>
        <w:fldChar w:fldCharType="begin"/>
      </w:r>
      <w:r>
        <w:rPr>
          <w:rStyle w:val="23"/>
          <w:color w:val="auto"/>
          <w:sz w:val="36"/>
          <w:szCs w:val="36"/>
          <w:highlight w:val="none"/>
        </w:rPr>
        <w:instrText xml:space="preserve"> </w:instrText>
      </w:r>
      <w:r>
        <w:rPr>
          <w:color w:val="auto"/>
          <w:sz w:val="36"/>
          <w:szCs w:val="36"/>
          <w:highlight w:val="none"/>
        </w:rPr>
        <w:instrText xml:space="preserve">HYPERLINK \l "_Toc3991776"</w:instrText>
      </w:r>
      <w:r>
        <w:rPr>
          <w:rStyle w:val="23"/>
          <w:color w:val="auto"/>
          <w:sz w:val="36"/>
          <w:szCs w:val="36"/>
          <w:highlight w:val="none"/>
        </w:rPr>
        <w:instrText xml:space="preserve"> </w:instrText>
      </w:r>
      <w:r>
        <w:rPr>
          <w:color w:val="auto"/>
          <w:sz w:val="36"/>
          <w:szCs w:val="36"/>
          <w:highlight w:val="none"/>
        </w:rPr>
        <w:fldChar w:fldCharType="separate"/>
      </w:r>
      <w:r>
        <w:rPr>
          <w:rStyle w:val="23"/>
          <w:rFonts w:hint="eastAsia"/>
          <w:color w:val="auto"/>
          <w:kern w:val="0"/>
          <w:sz w:val="36"/>
          <w:szCs w:val="36"/>
          <w:highlight w:val="none"/>
        </w:rPr>
        <w:t>第五章</w:t>
      </w:r>
      <w:r>
        <w:rPr>
          <w:rStyle w:val="23"/>
          <w:color w:val="auto"/>
          <w:kern w:val="0"/>
          <w:sz w:val="36"/>
          <w:szCs w:val="36"/>
          <w:highlight w:val="none"/>
        </w:rPr>
        <w:t xml:space="preserve">  </w:t>
      </w:r>
      <w:r>
        <w:rPr>
          <w:rStyle w:val="23"/>
          <w:rFonts w:hint="eastAsia"/>
          <w:color w:val="auto"/>
          <w:kern w:val="0"/>
          <w:sz w:val="36"/>
          <w:szCs w:val="36"/>
          <w:highlight w:val="none"/>
        </w:rPr>
        <w:t>首次响应文件格式</w:t>
      </w:r>
      <w:r>
        <w:rPr>
          <w:color w:val="auto"/>
          <w:sz w:val="36"/>
          <w:szCs w:val="36"/>
          <w:highlight w:val="none"/>
        </w:rPr>
        <w:tab/>
      </w:r>
      <w:r>
        <w:rPr>
          <w:rFonts w:hint="eastAsia"/>
          <w:color w:val="auto"/>
          <w:sz w:val="36"/>
          <w:szCs w:val="36"/>
          <w:highlight w:val="none"/>
        </w:rPr>
        <w:t>31</w:t>
      </w:r>
      <w:r>
        <w:rPr>
          <w:color w:val="auto"/>
          <w:sz w:val="36"/>
          <w:szCs w:val="36"/>
          <w:highlight w:val="none"/>
        </w:rPr>
        <w:fldChar w:fldCharType="end"/>
      </w:r>
    </w:p>
    <w:p>
      <w:pPr>
        <w:pStyle w:val="10"/>
        <w:tabs>
          <w:tab w:val="right" w:leader="dot" w:pos="8296"/>
        </w:tabs>
        <w:rPr>
          <w:color w:val="auto"/>
          <w:szCs w:val="22"/>
          <w:highlight w:val="none"/>
        </w:rPr>
      </w:pPr>
    </w:p>
    <w:p>
      <w:pPr>
        <w:rPr>
          <w:rFonts w:hint="eastAsia"/>
          <w:color w:val="auto"/>
          <w:highlight w:val="none"/>
        </w:rPr>
      </w:pPr>
      <w:r>
        <w:rPr>
          <w:color w:val="auto"/>
          <w:sz w:val="32"/>
          <w:szCs w:val="32"/>
          <w:highlight w:val="none"/>
        </w:rPr>
        <w:fldChar w:fldCharType="end"/>
      </w:r>
    </w:p>
    <w:p>
      <w:pPr>
        <w:pStyle w:val="17"/>
        <w:rPr>
          <w:rFonts w:hint="eastAsia" w:ascii="宋体" w:hAnsi="宋体"/>
          <w:color w:val="auto"/>
          <w:kern w:val="0"/>
          <w:sz w:val="24"/>
          <w:highlight w:val="none"/>
        </w:rPr>
      </w:pPr>
      <w:r>
        <w:rPr>
          <w:rFonts w:hint="eastAsia"/>
          <w:color w:val="auto"/>
          <w:kern w:val="0"/>
          <w:highlight w:val="none"/>
        </w:rPr>
        <w:br w:type="page"/>
      </w:r>
      <w:bookmarkStart w:id="6" w:name="_Toc3991129"/>
      <w:bookmarkStart w:id="7" w:name="_Toc3991771"/>
      <w:r>
        <w:rPr>
          <w:color w:val="auto"/>
          <w:kern w:val="0"/>
          <w:highlight w:val="none"/>
        </w:rPr>
        <w:t>第一章</w:t>
      </w:r>
      <w:r>
        <w:rPr>
          <w:rFonts w:hint="eastAsia"/>
          <w:color w:val="auto"/>
          <w:kern w:val="0"/>
          <w:highlight w:val="none"/>
        </w:rPr>
        <w:t xml:space="preserve">  </w:t>
      </w:r>
      <w:r>
        <w:rPr>
          <w:color w:val="auto"/>
          <w:kern w:val="0"/>
          <w:highlight w:val="none"/>
        </w:rPr>
        <w:t>采购公告/采购邀请书</w:t>
      </w:r>
      <w:bookmarkEnd w:id="6"/>
      <w:bookmarkEnd w:id="7"/>
    </w:p>
    <w:p>
      <w:pPr>
        <w:widowControl/>
        <w:jc w:val="center"/>
        <w:rPr>
          <w:rFonts w:hint="eastAsia" w:ascii="宋体" w:hAnsi="宋体" w:cs="宋体"/>
          <w:b/>
          <w:bCs/>
          <w:color w:val="auto"/>
          <w:kern w:val="0"/>
          <w:sz w:val="44"/>
          <w:highlight w:val="none"/>
        </w:rPr>
      </w:pPr>
      <w:r>
        <w:rPr>
          <w:rFonts w:ascii="宋体" w:hAnsi="宋体" w:cs="宋体"/>
          <w:b/>
          <w:bCs/>
          <w:color w:val="auto"/>
          <w:kern w:val="0"/>
          <w:sz w:val="44"/>
          <w:highlight w:val="none"/>
        </w:rPr>
        <w:t>竞争性谈判采购公告</w:t>
      </w:r>
    </w:p>
    <w:p>
      <w:pPr>
        <w:widowControl/>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福建闽东电力股份有限公司</w:t>
      </w:r>
      <w:r>
        <w:rPr>
          <w:rFonts w:ascii="宋体" w:hAnsi="宋体" w:cs="宋体"/>
          <w:color w:val="auto"/>
          <w:kern w:val="0"/>
          <w:sz w:val="24"/>
          <w:highlight w:val="none"/>
        </w:rPr>
        <w:t>已</w:t>
      </w:r>
      <w:r>
        <w:rPr>
          <w:rFonts w:hint="eastAsia" w:ascii="宋体" w:hAnsi="宋体" w:cs="宋体"/>
          <w:color w:val="auto"/>
          <w:kern w:val="0"/>
          <w:sz w:val="24"/>
          <w:highlight w:val="none"/>
          <w:lang w:eastAsia="zh-CN"/>
        </w:rPr>
        <w:t>参照</w:t>
      </w:r>
      <w:r>
        <w:rPr>
          <w:rFonts w:ascii="宋体" w:hAnsi="宋体" w:cs="宋体"/>
          <w:color w:val="auto"/>
          <w:kern w:val="0"/>
          <w:sz w:val="24"/>
          <w:highlight w:val="none"/>
        </w:rPr>
        <w:t>采购相关法律法规</w:t>
      </w:r>
      <w:r>
        <w:rPr>
          <w:rFonts w:hint="eastAsia" w:ascii="宋体" w:hAnsi="宋体" w:cs="宋体"/>
          <w:color w:val="auto"/>
          <w:kern w:val="0"/>
          <w:sz w:val="24"/>
          <w:highlight w:val="none"/>
          <w:lang w:eastAsia="zh-CN"/>
        </w:rPr>
        <w:t>及规范性文件</w:t>
      </w:r>
      <w:r>
        <w:rPr>
          <w:rFonts w:ascii="宋体" w:hAnsi="宋体" w:cs="宋体"/>
          <w:color w:val="auto"/>
          <w:kern w:val="0"/>
          <w:sz w:val="24"/>
          <w:highlight w:val="none"/>
        </w:rPr>
        <w:t>，经相应程序确定采用</w:t>
      </w:r>
      <w:r>
        <w:rPr>
          <w:rFonts w:ascii="宋体" w:hAnsi="宋体" w:cs="宋体"/>
          <w:color w:val="auto"/>
          <w:kern w:val="0"/>
          <w:sz w:val="24"/>
          <w:highlight w:val="none"/>
          <w:u w:val="single"/>
        </w:rPr>
        <w:t>竞争性谈判方式</w:t>
      </w:r>
      <w:r>
        <w:rPr>
          <w:rFonts w:ascii="宋体" w:hAnsi="宋体" w:cs="宋体"/>
          <w:color w:val="auto"/>
          <w:kern w:val="0"/>
          <w:sz w:val="24"/>
          <w:highlight w:val="none"/>
        </w:rPr>
        <w:t>组织</w:t>
      </w:r>
      <w:r>
        <w:rPr>
          <w:rFonts w:hint="eastAsia" w:ascii="宋体" w:hAnsi="宋体" w:cs="宋体"/>
          <w:color w:val="auto"/>
          <w:kern w:val="0"/>
          <w:sz w:val="24"/>
          <w:highlight w:val="none"/>
          <w:lang w:eastAsia="zh-CN"/>
        </w:rPr>
        <w:t>2023年度团体补充医疗保险项目</w:t>
      </w:r>
      <w:r>
        <w:rPr>
          <w:rFonts w:ascii="宋体" w:hAnsi="宋体" w:cs="宋体"/>
          <w:color w:val="auto"/>
          <w:kern w:val="0"/>
          <w:sz w:val="24"/>
          <w:highlight w:val="none"/>
        </w:rPr>
        <w:t>（以下简称：“本项目”）的</w:t>
      </w:r>
      <w:r>
        <w:rPr>
          <w:rFonts w:hint="eastAsia" w:ascii="宋体" w:hAnsi="宋体" w:cs="宋体"/>
          <w:color w:val="auto"/>
          <w:kern w:val="0"/>
          <w:sz w:val="24"/>
          <w:highlight w:val="none"/>
        </w:rPr>
        <w:t>采购</w:t>
      </w:r>
      <w:r>
        <w:rPr>
          <w:rFonts w:ascii="宋体" w:hAnsi="宋体" w:cs="宋体"/>
          <w:color w:val="auto"/>
          <w:kern w:val="0"/>
          <w:sz w:val="24"/>
          <w:highlight w:val="none"/>
        </w:rPr>
        <w:t>活动，现欢迎国内合格的供应商前来参加。本项目由采购人委托</w:t>
      </w:r>
      <w:r>
        <w:rPr>
          <w:rFonts w:hint="eastAsia" w:ascii="宋体" w:hAnsi="宋体" w:cs="宋体"/>
          <w:color w:val="auto"/>
          <w:kern w:val="0"/>
          <w:sz w:val="24"/>
          <w:highlight w:val="none"/>
        </w:rPr>
        <w:t>宁德市有信产权交易服务有限公司</w:t>
      </w:r>
      <w:r>
        <w:rPr>
          <w:rFonts w:ascii="宋体" w:hAnsi="宋体" w:cs="宋体"/>
          <w:color w:val="auto"/>
          <w:kern w:val="0"/>
          <w:sz w:val="24"/>
          <w:highlight w:val="none"/>
        </w:rPr>
        <w:t>开展竞争性谈判活动。</w:t>
      </w:r>
    </w:p>
    <w:p>
      <w:pPr>
        <w:widowControl/>
        <w:spacing w:line="500" w:lineRule="exact"/>
        <w:ind w:firstLine="480" w:firstLineChars="200"/>
        <w:jc w:val="left"/>
        <w:rPr>
          <w:rFonts w:hint="eastAsia" w:ascii="宋体" w:hAnsi="宋体" w:eastAsia="宋体" w:cs="宋体"/>
          <w:color w:val="auto"/>
          <w:kern w:val="0"/>
          <w:sz w:val="24"/>
          <w:highlight w:val="none"/>
          <w:shd w:val="clear" w:color="auto" w:fill="FFFFFF"/>
          <w:lang w:eastAsia="zh-CN"/>
        </w:rPr>
      </w:pPr>
      <w:r>
        <w:rPr>
          <w:rFonts w:ascii="宋体" w:hAnsi="宋体" w:cs="宋体"/>
          <w:color w:val="auto"/>
          <w:kern w:val="0"/>
          <w:sz w:val="24"/>
          <w:highlight w:val="none"/>
          <w:shd w:val="clear" w:color="auto" w:fill="FFFFFF"/>
        </w:rPr>
        <w:t>1</w:t>
      </w:r>
      <w:r>
        <w:rPr>
          <w:rFonts w:hint="eastAsia" w:ascii="宋体" w:hAnsi="宋体" w:cs="宋体"/>
          <w:color w:val="auto"/>
          <w:kern w:val="0"/>
          <w:sz w:val="24"/>
          <w:highlight w:val="none"/>
          <w:shd w:val="clear" w:color="auto" w:fill="FFFFFF"/>
        </w:rPr>
        <w:t>.</w:t>
      </w:r>
      <w:r>
        <w:rPr>
          <w:rFonts w:ascii="宋体" w:hAnsi="宋体" w:cs="宋体"/>
          <w:color w:val="auto"/>
          <w:kern w:val="0"/>
          <w:sz w:val="24"/>
          <w:highlight w:val="none"/>
          <w:shd w:val="clear" w:color="auto" w:fill="FFFFFF"/>
        </w:rPr>
        <w:t>项目名称：</w:t>
      </w:r>
      <w:r>
        <w:rPr>
          <w:rFonts w:hint="eastAsia" w:ascii="宋体" w:hAnsi="宋体" w:cs="宋体"/>
          <w:color w:val="auto"/>
          <w:kern w:val="0"/>
          <w:sz w:val="24"/>
          <w:highlight w:val="none"/>
          <w:shd w:val="clear" w:color="auto" w:fill="FFFFFF"/>
          <w:lang w:eastAsia="zh-CN"/>
        </w:rPr>
        <w:t>2023年度团体补充医疗保险项目</w:t>
      </w:r>
    </w:p>
    <w:p>
      <w:pPr>
        <w:widowControl/>
        <w:spacing w:line="500" w:lineRule="exact"/>
        <w:ind w:firstLine="480" w:firstLineChars="200"/>
        <w:jc w:val="left"/>
        <w:rPr>
          <w:rFonts w:hint="eastAsia" w:ascii="宋体" w:hAnsi="宋体" w:eastAsia="宋体" w:cs="宋体"/>
          <w:color w:val="auto"/>
          <w:kern w:val="0"/>
          <w:sz w:val="24"/>
          <w:highlight w:val="none"/>
          <w:shd w:val="clear" w:color="auto" w:fill="FFFFFF"/>
          <w:lang w:eastAsia="zh-CN"/>
        </w:rPr>
      </w:pPr>
      <w:r>
        <w:rPr>
          <w:rFonts w:hint="eastAsia" w:ascii="宋体" w:hAnsi="宋体" w:cs="宋体"/>
          <w:color w:val="auto"/>
          <w:kern w:val="0"/>
          <w:sz w:val="24"/>
          <w:highlight w:val="none"/>
          <w:shd w:val="clear" w:color="auto" w:fill="FFFFFF"/>
        </w:rPr>
        <w:t>2.</w:t>
      </w:r>
      <w:r>
        <w:rPr>
          <w:rFonts w:ascii="宋体" w:hAnsi="宋体" w:cs="宋体"/>
          <w:color w:val="auto"/>
          <w:kern w:val="0"/>
          <w:sz w:val="24"/>
          <w:highlight w:val="none"/>
          <w:shd w:val="clear" w:color="auto" w:fill="FFFFFF"/>
        </w:rPr>
        <w:t>项目编号：</w:t>
      </w:r>
      <w:r>
        <w:rPr>
          <w:rFonts w:hint="eastAsia" w:ascii="宋体" w:hAnsi="宋体" w:cs="宋体"/>
          <w:color w:val="auto"/>
          <w:kern w:val="0"/>
          <w:sz w:val="24"/>
          <w:highlight w:val="none"/>
          <w:shd w:val="clear" w:color="auto" w:fill="FFFFFF"/>
          <w:lang w:eastAsia="zh-CN"/>
        </w:rPr>
        <w:t>NDYXCQ[TP]2022049（1）</w:t>
      </w:r>
    </w:p>
    <w:p>
      <w:pPr>
        <w:widowControl/>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w:t>
      </w:r>
      <w:r>
        <w:rPr>
          <w:rFonts w:ascii="宋体" w:hAnsi="宋体" w:cs="宋体"/>
          <w:color w:val="auto"/>
          <w:kern w:val="0"/>
          <w:sz w:val="24"/>
          <w:highlight w:val="none"/>
        </w:rPr>
        <w:t>采购内容及要求：</w:t>
      </w:r>
      <w:r>
        <w:rPr>
          <w:rFonts w:hint="eastAsia" w:ascii="宋体" w:hAnsi="宋体"/>
          <w:color w:val="auto"/>
          <w:sz w:val="24"/>
          <w:highlight w:val="none"/>
        </w:rPr>
        <w:t>详见附</w:t>
      </w:r>
      <w:r>
        <w:rPr>
          <w:rFonts w:ascii="宋体" w:hAnsi="宋体" w:cs="Calibri"/>
          <w:color w:val="auto"/>
          <w:sz w:val="24"/>
          <w:highlight w:val="none"/>
        </w:rPr>
        <w:t>2</w:t>
      </w:r>
      <w:r>
        <w:rPr>
          <w:rFonts w:hint="eastAsia" w:ascii="宋体" w:hAnsi="宋体"/>
          <w:color w:val="auto"/>
          <w:sz w:val="24"/>
          <w:highlight w:val="none"/>
        </w:rPr>
        <w:t>：《采购标的一览表》及竞争性谈判文件第三章。</w:t>
      </w:r>
    </w:p>
    <w:p>
      <w:pPr>
        <w:widowControl/>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shd w:val="clear" w:color="auto" w:fill="FFFFFF"/>
        </w:rPr>
        <w:t>4.</w:t>
      </w:r>
      <w:r>
        <w:rPr>
          <w:rFonts w:ascii="宋体" w:hAnsi="宋体" w:cs="宋体"/>
          <w:color w:val="auto"/>
          <w:kern w:val="0"/>
          <w:sz w:val="24"/>
          <w:highlight w:val="none"/>
          <w:shd w:val="clear" w:color="auto" w:fill="FFFFFF"/>
        </w:rPr>
        <w:t>采购项目需要落实的</w:t>
      </w:r>
      <w:r>
        <w:rPr>
          <w:rFonts w:hint="eastAsia" w:ascii="宋体" w:hAnsi="宋体" w:cs="宋体"/>
          <w:color w:val="auto"/>
          <w:kern w:val="0"/>
          <w:sz w:val="24"/>
          <w:highlight w:val="none"/>
          <w:shd w:val="clear" w:color="auto" w:fill="FFFFFF"/>
        </w:rPr>
        <w:t>采购</w:t>
      </w:r>
      <w:r>
        <w:rPr>
          <w:rFonts w:ascii="宋体" w:hAnsi="宋体" w:cs="宋体"/>
          <w:color w:val="auto"/>
          <w:kern w:val="0"/>
          <w:sz w:val="24"/>
          <w:highlight w:val="none"/>
          <w:shd w:val="clear" w:color="auto" w:fill="FFFFFF"/>
        </w:rPr>
        <w:t>政策：</w:t>
      </w:r>
      <w:r>
        <w:rPr>
          <w:rFonts w:hint="eastAsia" w:ascii="宋体" w:hAnsi="宋体"/>
          <w:color w:val="auto"/>
          <w:sz w:val="24"/>
          <w:highlight w:val="none"/>
        </w:rPr>
        <w:t>信用记录，适用于本项目，按照下列规定执行：（1）</w:t>
      </w:r>
      <w:r>
        <w:rPr>
          <w:rFonts w:hint="eastAsia" w:ascii="宋体" w:hAnsi="宋体"/>
          <w:color w:val="auto"/>
          <w:sz w:val="24"/>
          <w:highlight w:val="none"/>
          <w:lang w:eastAsia="zh-CN"/>
        </w:rPr>
        <w:t>供应商可</w:t>
      </w:r>
      <w:r>
        <w:rPr>
          <w:rFonts w:hint="eastAsia" w:ascii="宋体" w:hAnsi="宋体"/>
          <w:color w:val="auto"/>
          <w:sz w:val="24"/>
          <w:highlight w:val="none"/>
        </w:rPr>
        <w:t>在响应文件递交截止时间前分别通过“信用中国”网站（www.creditchina.gov.cn）、中国政府采购网（www.ccgp.gov.cn）查询并打印相应的信用记录（以下简称：“</w:t>
      </w:r>
      <w:r>
        <w:rPr>
          <w:rFonts w:hint="eastAsia" w:ascii="宋体" w:hAnsi="宋体"/>
          <w:color w:val="auto"/>
          <w:sz w:val="24"/>
          <w:highlight w:val="none"/>
          <w:lang w:eastAsia="zh-CN"/>
        </w:rPr>
        <w:t>供应商</w:t>
      </w:r>
      <w:r>
        <w:rPr>
          <w:rFonts w:hint="eastAsia" w:ascii="宋体" w:hAnsi="宋体"/>
          <w:color w:val="auto"/>
          <w:sz w:val="24"/>
          <w:highlight w:val="none"/>
        </w:rPr>
        <w:t>提供的查询结果”），</w:t>
      </w:r>
      <w:r>
        <w:rPr>
          <w:rFonts w:hint="eastAsia" w:ascii="宋体" w:hAnsi="宋体"/>
          <w:color w:val="auto"/>
          <w:sz w:val="24"/>
          <w:highlight w:val="none"/>
          <w:lang w:eastAsia="zh-CN"/>
        </w:rPr>
        <w:t>供应商</w:t>
      </w:r>
      <w:r>
        <w:rPr>
          <w:rFonts w:hint="eastAsia" w:ascii="宋体" w:hAnsi="宋体"/>
          <w:color w:val="auto"/>
          <w:sz w:val="24"/>
          <w:highlight w:val="none"/>
        </w:rPr>
        <w:t>提供的查询结果应为其通过上述网站获取的信用信息查询结果原始页面的打印件（或截图）。（2）查询结果的审查：①由资格审查小组通过上述网站查询</w:t>
      </w:r>
      <w:r>
        <w:rPr>
          <w:rFonts w:hint="eastAsia" w:ascii="宋体" w:hAnsi="宋体"/>
          <w:color w:val="auto"/>
          <w:sz w:val="24"/>
          <w:highlight w:val="none"/>
          <w:lang w:eastAsia="zh-CN"/>
        </w:rPr>
        <w:t>供应商</w:t>
      </w:r>
      <w:r>
        <w:rPr>
          <w:rFonts w:hint="eastAsia" w:ascii="宋体" w:hAnsi="宋体"/>
          <w:color w:val="auto"/>
          <w:sz w:val="24"/>
          <w:highlight w:val="none"/>
        </w:rPr>
        <w:t>信用记录（以下简称：“资格审查小组的查询结果”）。②</w:t>
      </w:r>
      <w:r>
        <w:rPr>
          <w:rFonts w:hint="eastAsia" w:ascii="宋体" w:hAnsi="宋体"/>
          <w:color w:val="auto"/>
          <w:sz w:val="24"/>
          <w:highlight w:val="none"/>
          <w:lang w:eastAsia="zh-CN"/>
        </w:rPr>
        <w:t>供应商</w:t>
      </w:r>
      <w:r>
        <w:rPr>
          <w:rFonts w:hint="eastAsia" w:ascii="宋体" w:hAnsi="宋体"/>
          <w:color w:val="auto"/>
          <w:sz w:val="24"/>
          <w:highlight w:val="none"/>
        </w:rPr>
        <w:t>提供的查询结果与资格审查小组的查询结果不一致的或者</w:t>
      </w:r>
      <w:r>
        <w:rPr>
          <w:rFonts w:hint="eastAsia" w:ascii="宋体" w:hAnsi="宋体"/>
          <w:color w:val="auto"/>
          <w:sz w:val="24"/>
          <w:highlight w:val="none"/>
          <w:lang w:eastAsia="zh-CN"/>
        </w:rPr>
        <w:t>供应商</w:t>
      </w:r>
      <w:r>
        <w:rPr>
          <w:rFonts w:hint="eastAsia" w:ascii="宋体" w:hAnsi="宋体"/>
          <w:color w:val="auto"/>
          <w:sz w:val="24"/>
          <w:highlight w:val="none"/>
        </w:rPr>
        <w:t>未提供的，以资格审查小组的查询结果为准。③因上述网站原因导致资格审查小组无法查询</w:t>
      </w:r>
      <w:r>
        <w:rPr>
          <w:rFonts w:hint="eastAsia" w:ascii="宋体" w:hAnsi="宋体"/>
          <w:color w:val="auto"/>
          <w:sz w:val="24"/>
          <w:highlight w:val="none"/>
          <w:lang w:eastAsia="zh-CN"/>
        </w:rPr>
        <w:t>供应商</w:t>
      </w:r>
      <w:r>
        <w:rPr>
          <w:rFonts w:hint="eastAsia" w:ascii="宋体" w:hAnsi="宋体"/>
          <w:color w:val="auto"/>
          <w:sz w:val="24"/>
          <w:highlight w:val="none"/>
        </w:rPr>
        <w:t>信用记录的（资格审查小组应将通过上述网站查询</w:t>
      </w:r>
      <w:r>
        <w:rPr>
          <w:rFonts w:hint="eastAsia" w:ascii="宋体" w:hAnsi="宋体"/>
          <w:color w:val="auto"/>
          <w:sz w:val="24"/>
          <w:highlight w:val="none"/>
          <w:lang w:eastAsia="zh-CN"/>
        </w:rPr>
        <w:t>供应商</w:t>
      </w:r>
      <w:r>
        <w:rPr>
          <w:rFonts w:hint="eastAsia" w:ascii="宋体" w:hAnsi="宋体"/>
          <w:color w:val="auto"/>
          <w:sz w:val="24"/>
          <w:highlight w:val="none"/>
        </w:rPr>
        <w:t>信用记录时的原始页面打印后随采购文件一并存档），以</w:t>
      </w:r>
      <w:r>
        <w:rPr>
          <w:rFonts w:hint="eastAsia" w:ascii="宋体" w:hAnsi="宋体"/>
          <w:color w:val="auto"/>
          <w:sz w:val="24"/>
          <w:highlight w:val="none"/>
          <w:lang w:eastAsia="zh-CN"/>
        </w:rPr>
        <w:t>供应商</w:t>
      </w:r>
      <w:r>
        <w:rPr>
          <w:rFonts w:hint="eastAsia" w:ascii="宋体" w:hAnsi="宋体"/>
          <w:color w:val="auto"/>
          <w:sz w:val="24"/>
          <w:highlight w:val="none"/>
        </w:rPr>
        <w:t>提供的查询结果为准。④查询结果存在</w:t>
      </w:r>
      <w:r>
        <w:rPr>
          <w:rFonts w:hint="eastAsia" w:ascii="宋体" w:hAnsi="宋体"/>
          <w:color w:val="auto"/>
          <w:sz w:val="24"/>
          <w:highlight w:val="none"/>
          <w:lang w:eastAsia="zh-CN"/>
        </w:rPr>
        <w:t>供应商</w:t>
      </w:r>
      <w:r>
        <w:rPr>
          <w:rFonts w:hint="eastAsia" w:ascii="宋体" w:hAnsi="宋体"/>
          <w:color w:val="auto"/>
          <w:sz w:val="24"/>
          <w:highlight w:val="none"/>
        </w:rPr>
        <w:t>应被拒绝参与采购活动相关信息的，其资格审查不合格。其他政策详见采购文件要求。</w:t>
      </w:r>
    </w:p>
    <w:p>
      <w:pPr>
        <w:widowControl/>
        <w:spacing w:line="500" w:lineRule="exact"/>
        <w:ind w:firstLine="480"/>
        <w:jc w:val="left"/>
        <w:rPr>
          <w:rFonts w:ascii="宋体" w:hAnsi="宋体" w:cs="宋体"/>
          <w:color w:val="auto"/>
          <w:kern w:val="0"/>
          <w:sz w:val="24"/>
          <w:highlight w:val="none"/>
        </w:rPr>
      </w:pPr>
      <w:r>
        <w:rPr>
          <w:rFonts w:hint="eastAsia" w:ascii="宋体" w:hAnsi="宋体" w:cs="宋体"/>
          <w:color w:val="auto"/>
          <w:kern w:val="0"/>
          <w:sz w:val="24"/>
          <w:highlight w:val="none"/>
        </w:rPr>
        <w:t>5.</w:t>
      </w:r>
      <w:r>
        <w:rPr>
          <w:rFonts w:ascii="宋体" w:hAnsi="宋体" w:cs="宋体"/>
          <w:color w:val="auto"/>
          <w:kern w:val="0"/>
          <w:sz w:val="24"/>
          <w:highlight w:val="none"/>
        </w:rPr>
        <w:t>供应商的资格要求</w:t>
      </w:r>
    </w:p>
    <w:p>
      <w:pPr>
        <w:widowControl/>
        <w:spacing w:line="50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5.</w:t>
      </w:r>
      <w:r>
        <w:rPr>
          <w:rFonts w:ascii="宋体" w:hAnsi="宋体" w:cs="宋体"/>
          <w:color w:val="auto"/>
          <w:kern w:val="0"/>
          <w:sz w:val="24"/>
          <w:highlight w:val="none"/>
          <w:shd w:val="clear" w:color="auto" w:fill="FFFFFF"/>
        </w:rPr>
        <w:t>1法定条件：符合《中华人民共和国政府采购法》第二十二条第一款规定的条件。</w:t>
      </w:r>
    </w:p>
    <w:p>
      <w:pPr>
        <w:spacing w:line="500" w:lineRule="exact"/>
        <w:ind w:firstLine="484" w:firstLineChars="202"/>
        <w:rPr>
          <w:rFonts w:hint="eastAsia" w:ascii="宋体" w:hAnsi="宋体"/>
          <w:color w:val="auto"/>
          <w:szCs w:val="21"/>
          <w:highlight w:val="none"/>
        </w:rPr>
      </w:pPr>
      <w:r>
        <w:rPr>
          <w:rFonts w:hint="eastAsia" w:ascii="宋体" w:hAnsi="宋体" w:cs="宋体"/>
          <w:color w:val="auto"/>
          <w:kern w:val="0"/>
          <w:sz w:val="24"/>
          <w:highlight w:val="none"/>
          <w:shd w:val="clear" w:color="auto" w:fill="FFFFFF"/>
        </w:rPr>
        <w:t>5.2特定条件：</w:t>
      </w:r>
    </w:p>
    <w:p>
      <w:pPr>
        <w:widowControl/>
        <w:spacing w:line="380" w:lineRule="exact"/>
        <w:ind w:firstLine="480"/>
        <w:jc w:val="left"/>
        <w:rPr>
          <w:rFonts w:ascii="宋体" w:hAnsi="宋体" w:cs="宋体"/>
          <w:color w:val="auto"/>
          <w:kern w:val="0"/>
          <w:szCs w:val="21"/>
          <w:highlight w:val="none"/>
        </w:rPr>
      </w:pPr>
      <w:r>
        <w:rPr>
          <w:rFonts w:hint="eastAsia" w:ascii="宋体" w:hAnsi="宋体"/>
          <w:color w:val="auto"/>
          <w:szCs w:val="21"/>
          <w:highlight w:val="none"/>
        </w:rPr>
        <w:t xml:space="preserve"> </w:t>
      </w:r>
      <w:r>
        <w:rPr>
          <w:rFonts w:ascii="宋体" w:hAnsi="宋体" w:cs="宋体"/>
          <w:b/>
          <w:bCs/>
          <w:color w:val="auto"/>
          <w:kern w:val="0"/>
          <w:szCs w:val="21"/>
          <w:highlight w:val="none"/>
        </w:rPr>
        <w:t>包：1</w:t>
      </w:r>
    </w:p>
    <w:tbl>
      <w:tblPr>
        <w:tblStyle w:val="18"/>
        <w:tblW w:w="0" w:type="auto"/>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94"/>
        <w:gridCol w:w="8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1" w:hRule="atLeast"/>
          <w:tblHeader/>
        </w:trPr>
        <w:tc>
          <w:tcPr>
            <w:tcW w:w="1394" w:type="dxa"/>
            <w:noWrap w:val="0"/>
            <w:vAlign w:val="center"/>
          </w:tcPr>
          <w:p>
            <w:pPr>
              <w:widowControl/>
              <w:spacing w:line="380" w:lineRule="exact"/>
              <w:jc w:val="center"/>
              <w:rPr>
                <w:rFonts w:ascii="宋体" w:hAnsi="宋体" w:cs="宋体"/>
                <w:b/>
                <w:bCs/>
                <w:color w:val="auto"/>
                <w:kern w:val="0"/>
                <w:szCs w:val="21"/>
                <w:highlight w:val="none"/>
              </w:rPr>
            </w:pPr>
            <w:r>
              <w:rPr>
                <w:rFonts w:ascii="宋体" w:hAnsi="宋体" w:cs="宋体"/>
                <w:b/>
                <w:bCs/>
                <w:color w:val="auto"/>
                <w:kern w:val="0"/>
                <w:szCs w:val="21"/>
                <w:highlight w:val="none"/>
              </w:rPr>
              <w:t>明细</w:t>
            </w:r>
          </w:p>
        </w:tc>
        <w:tc>
          <w:tcPr>
            <w:tcW w:w="8086" w:type="dxa"/>
            <w:noWrap w:val="0"/>
            <w:vAlign w:val="center"/>
          </w:tcPr>
          <w:p>
            <w:pPr>
              <w:widowControl/>
              <w:spacing w:line="380" w:lineRule="exact"/>
              <w:jc w:val="center"/>
              <w:rPr>
                <w:rFonts w:ascii="宋体" w:hAnsi="宋体" w:cs="宋体"/>
                <w:b/>
                <w:bCs/>
                <w:color w:val="auto"/>
                <w:kern w:val="0"/>
                <w:szCs w:val="21"/>
                <w:highlight w:val="none"/>
              </w:rPr>
            </w:pPr>
            <w:r>
              <w:rPr>
                <w:rFonts w:ascii="宋体" w:hAnsi="宋体" w:cs="宋体"/>
                <w:b/>
                <w:bCs/>
                <w:color w:val="auto"/>
                <w:kern w:val="0"/>
                <w:szCs w:val="21"/>
                <w:highlight w:val="none"/>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1394" w:type="dxa"/>
            <w:noWrap w:val="0"/>
            <w:vAlign w:val="top"/>
          </w:tcPr>
          <w:p>
            <w:pPr>
              <w:widowControl/>
              <w:spacing w:line="500" w:lineRule="exact"/>
              <w:jc w:val="center"/>
              <w:rPr>
                <w:rFonts w:ascii="宋体" w:hAnsi="宋体" w:cs="宋体"/>
                <w:color w:val="auto"/>
                <w:kern w:val="0"/>
                <w:szCs w:val="21"/>
                <w:highlight w:val="none"/>
                <w:lang w:bidi="ar"/>
              </w:rPr>
            </w:pPr>
          </w:p>
          <w:p>
            <w:pPr>
              <w:widowControl/>
              <w:spacing w:line="500" w:lineRule="exact"/>
              <w:jc w:val="center"/>
              <w:rPr>
                <w:rFonts w:ascii="宋体" w:hAnsi="宋体" w:cs="宋体"/>
                <w:color w:val="auto"/>
                <w:kern w:val="0"/>
                <w:szCs w:val="21"/>
                <w:highlight w:val="none"/>
                <w:lang w:bidi="ar"/>
              </w:rPr>
            </w:pPr>
          </w:p>
          <w:p>
            <w:pPr>
              <w:widowControl/>
              <w:spacing w:line="500" w:lineRule="exact"/>
              <w:jc w:val="center"/>
              <w:rPr>
                <w:rFonts w:ascii="宋体" w:hAnsi="宋体" w:cs="宋体"/>
                <w:color w:val="auto"/>
                <w:kern w:val="0"/>
                <w:szCs w:val="21"/>
                <w:highlight w:val="none"/>
              </w:rPr>
            </w:pPr>
            <w:r>
              <w:rPr>
                <w:rFonts w:ascii="宋体" w:hAnsi="宋体" w:cs="宋体"/>
                <w:color w:val="auto"/>
                <w:kern w:val="0"/>
                <w:szCs w:val="21"/>
                <w:highlight w:val="none"/>
                <w:lang w:bidi="ar"/>
              </w:rPr>
              <w:t>保险业务经营资格</w:t>
            </w:r>
          </w:p>
        </w:tc>
        <w:tc>
          <w:tcPr>
            <w:tcW w:w="8086" w:type="dxa"/>
            <w:noWrap w:val="0"/>
            <w:vAlign w:val="top"/>
          </w:tcPr>
          <w:p>
            <w:pPr>
              <w:widowControl/>
              <w:spacing w:line="500" w:lineRule="exact"/>
              <w:ind w:firstLine="420" w:firstLineChars="200"/>
              <w:jc w:val="left"/>
              <w:rPr>
                <w:rFonts w:hint="default" w:ascii="宋体" w:hAnsi="宋体" w:eastAsia="宋体"/>
                <w:color w:val="auto"/>
                <w:kern w:val="0"/>
                <w:szCs w:val="21"/>
                <w:highlight w:val="none"/>
                <w:lang w:val="en-US" w:eastAsia="zh-CN" w:bidi="ar"/>
              </w:rPr>
            </w:pPr>
            <w:r>
              <w:rPr>
                <w:rFonts w:hint="eastAsia" w:ascii="宋体" w:hAnsi="宋体" w:cs="宋体"/>
                <w:color w:val="auto"/>
                <w:szCs w:val="21"/>
                <w:highlight w:val="none"/>
              </w:rPr>
              <w:t>供应商必须是在中华人民共和国境内注册的、由中国银行保险监督管理委员会批准的、具备开展本项目保险业务资质的保险公司或其分支机构</w:t>
            </w:r>
            <w:r>
              <w:rPr>
                <w:rFonts w:ascii="宋体" w:hAnsi="宋体" w:cs="宋体"/>
                <w:color w:val="auto"/>
                <w:kern w:val="0"/>
                <w:szCs w:val="21"/>
                <w:highlight w:val="none"/>
                <w:lang w:bidi="ar"/>
              </w:rPr>
              <w:t>。</w:t>
            </w:r>
            <w:r>
              <w:rPr>
                <w:rFonts w:hint="eastAsia" w:ascii="宋体" w:hAnsi="宋体" w:cs="宋体"/>
                <w:color w:val="auto"/>
                <w:szCs w:val="21"/>
                <w:highlight w:val="none"/>
              </w:rPr>
              <w:t>供应商需提供《保险公司法人许可证》或《保险许可证》复印件；若以分支机构进行投标的，则需提供总公司对该分支机构经营业务相应的授权书，以及该分支机构的《经营保险业务许可证》或《保险许可证》复印件。 注：总公司或其下属各分支机构，不能同时参加本项目投标。</w:t>
            </w:r>
            <w:r>
              <w:rPr>
                <w:rFonts w:hint="eastAsia" w:ascii="宋体" w:hAnsi="宋体" w:cs="宋体"/>
                <w:color w:val="auto"/>
                <w:sz w:val="18"/>
                <w:szCs w:val="18"/>
                <w:highlight w:val="none"/>
                <w:lang w:val="en-US" w:eastAsia="zh-CN"/>
              </w:rPr>
              <w:t>不满足该</w:t>
            </w:r>
            <w:r>
              <w:rPr>
                <w:rFonts w:hint="eastAsia" w:ascii="宋体" w:hAnsi="宋体" w:cs="宋体"/>
                <w:color w:val="auto"/>
                <w:kern w:val="0"/>
                <w:sz w:val="21"/>
                <w:szCs w:val="21"/>
                <w:highlight w:val="none"/>
                <w:shd w:val="clear" w:color="auto" w:fill="FFFFFF"/>
              </w:rPr>
              <w:t>特定条件</w:t>
            </w:r>
            <w:r>
              <w:rPr>
                <w:rFonts w:hint="eastAsia" w:ascii="宋体" w:hAnsi="宋体" w:cs="宋体"/>
                <w:color w:val="auto"/>
                <w:kern w:val="0"/>
                <w:sz w:val="21"/>
                <w:szCs w:val="21"/>
                <w:highlight w:val="none"/>
                <w:shd w:val="clear" w:color="auto" w:fill="FFFFFF"/>
                <w:lang w:eastAsia="zh-CN"/>
              </w:rPr>
              <w:t>，</w:t>
            </w:r>
            <w:r>
              <w:rPr>
                <w:rFonts w:hint="eastAsia" w:ascii="宋体" w:hAnsi="宋体" w:cs="宋体"/>
                <w:color w:val="auto"/>
                <w:kern w:val="0"/>
                <w:sz w:val="21"/>
                <w:szCs w:val="21"/>
                <w:highlight w:val="none"/>
                <w:shd w:val="clear" w:color="auto" w:fill="FFFFFF"/>
                <w:lang w:val="en-US" w:eastAsia="zh-CN"/>
              </w:rPr>
              <w:t>按无效投标（响应）处理。</w:t>
            </w:r>
          </w:p>
        </w:tc>
      </w:tr>
    </w:tbl>
    <w:p>
      <w:pPr>
        <w:widowControl/>
        <w:spacing w:line="500" w:lineRule="exact"/>
        <w:ind w:firstLine="480"/>
        <w:jc w:val="left"/>
        <w:rPr>
          <w:rFonts w:ascii="宋体" w:hAnsi="宋体" w:cs="宋体"/>
          <w:color w:val="auto"/>
          <w:kern w:val="0"/>
          <w:sz w:val="24"/>
          <w:highlight w:val="none"/>
        </w:rPr>
      </w:pPr>
      <w:r>
        <w:rPr>
          <w:rFonts w:hint="eastAsia" w:ascii="宋体" w:hAnsi="宋体" w:cs="宋体"/>
          <w:color w:val="auto"/>
          <w:kern w:val="0"/>
          <w:sz w:val="24"/>
          <w:highlight w:val="none"/>
          <w:shd w:val="clear" w:color="auto" w:fill="FFFFFF"/>
        </w:rPr>
        <w:t>5.3</w:t>
      </w:r>
      <w:r>
        <w:rPr>
          <w:rFonts w:ascii="宋体" w:hAnsi="宋体" w:cs="宋体"/>
          <w:color w:val="auto"/>
          <w:kern w:val="0"/>
          <w:sz w:val="24"/>
          <w:highlight w:val="none"/>
          <w:shd w:val="clear" w:color="auto" w:fill="FFFFFF"/>
        </w:rPr>
        <w:t>是否接受联合体形式的响应谈判：不接受</w:t>
      </w:r>
    </w:p>
    <w:p>
      <w:pPr>
        <w:widowControl/>
        <w:spacing w:line="500" w:lineRule="exact"/>
        <w:ind w:firstLine="480"/>
        <w:jc w:val="left"/>
        <w:rPr>
          <w:rFonts w:ascii="宋体" w:hAnsi="宋体" w:cs="宋体"/>
          <w:color w:val="auto"/>
          <w:kern w:val="0"/>
          <w:sz w:val="24"/>
          <w:highlight w:val="none"/>
        </w:rPr>
      </w:pPr>
      <w:r>
        <w:rPr>
          <w:rFonts w:hint="eastAsia" w:ascii="宋体" w:hAnsi="宋体" w:cs="宋体"/>
          <w:b/>
          <w:bCs/>
          <w:color w:val="auto"/>
          <w:kern w:val="0"/>
          <w:sz w:val="24"/>
          <w:highlight w:val="none"/>
        </w:rPr>
        <w:t>※</w:t>
      </w:r>
      <w:r>
        <w:rPr>
          <w:rFonts w:ascii="宋体" w:hAnsi="宋体" w:cs="宋体"/>
          <w:b/>
          <w:bCs/>
          <w:color w:val="auto"/>
          <w:kern w:val="0"/>
          <w:sz w:val="24"/>
          <w:highlight w:val="none"/>
        </w:rPr>
        <w:t>根据上述资格要求，供应商响应文件中应提交的“资格证明文件”相关规定和资料要求，详见竞争性谈判须知前附表和谈判文件第五章。</w:t>
      </w:r>
    </w:p>
    <w:p>
      <w:pPr>
        <w:widowControl/>
        <w:spacing w:line="500" w:lineRule="exact"/>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6.</w:t>
      </w:r>
      <w:r>
        <w:rPr>
          <w:rFonts w:ascii="宋体" w:hAnsi="宋体" w:cs="宋体"/>
          <w:color w:val="auto"/>
          <w:kern w:val="0"/>
          <w:sz w:val="24"/>
          <w:highlight w:val="none"/>
        </w:rPr>
        <w:t>供应商报名</w:t>
      </w:r>
      <w:r>
        <w:rPr>
          <w:rFonts w:hint="eastAsia" w:ascii="宋体" w:hAnsi="宋体" w:cs="宋体"/>
          <w:color w:val="auto"/>
          <w:kern w:val="0"/>
          <w:sz w:val="24"/>
          <w:highlight w:val="none"/>
          <w:lang w:eastAsia="zh-CN"/>
        </w:rPr>
        <w:t>（获取谈判文件）</w:t>
      </w:r>
      <w:r>
        <w:rPr>
          <w:rFonts w:ascii="宋体" w:hAnsi="宋体" w:cs="宋体"/>
          <w:color w:val="auto"/>
          <w:kern w:val="0"/>
          <w:sz w:val="24"/>
          <w:highlight w:val="none"/>
        </w:rPr>
        <w:t>期限</w:t>
      </w:r>
      <w:r>
        <w:rPr>
          <w:rFonts w:ascii="宋体" w:hAnsi="宋体" w:cs="宋体"/>
          <w:color w:val="auto"/>
          <w:sz w:val="24"/>
          <w:highlight w:val="none"/>
        </w:rPr>
        <w:t>：详见谈判公告或更正公告（若有），</w:t>
      </w:r>
      <w:r>
        <w:rPr>
          <w:rFonts w:hint="eastAsia" w:ascii="宋体" w:hAnsi="宋体" w:cs="宋体"/>
          <w:color w:val="auto"/>
          <w:sz w:val="24"/>
          <w:highlight w:val="none"/>
        </w:rPr>
        <w:t>若不一致，以更正公告（若有）为准</w:t>
      </w:r>
      <w:r>
        <w:rPr>
          <w:rFonts w:hint="eastAsia" w:ascii="宋体" w:hAnsi="宋体" w:cs="宋体"/>
          <w:color w:val="auto"/>
          <w:sz w:val="24"/>
          <w:highlight w:val="none"/>
          <w:shd w:val="clear" w:color="auto" w:fill="FFFFFF"/>
        </w:rPr>
        <w:t>。</w:t>
      </w:r>
      <w:r>
        <w:rPr>
          <w:rFonts w:hint="eastAsia" w:ascii="宋体" w:hAnsi="宋体"/>
          <w:color w:val="auto"/>
          <w:sz w:val="24"/>
          <w:highlight w:val="none"/>
        </w:rPr>
        <w:t>未按要求报名将导致响应文件被拒收。</w:t>
      </w:r>
    </w:p>
    <w:p>
      <w:pPr>
        <w:widowControl/>
        <w:spacing w:line="50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6.</w:t>
      </w:r>
      <w:r>
        <w:rPr>
          <w:rFonts w:ascii="宋体" w:hAnsi="宋体" w:cs="宋体"/>
          <w:color w:val="auto"/>
          <w:kern w:val="0"/>
          <w:sz w:val="24"/>
          <w:highlight w:val="none"/>
          <w:shd w:val="clear" w:color="auto" w:fill="FFFFFF"/>
        </w:rPr>
        <w:t>1如果采购过程中有发出更正公告，采购人将根据实际情况确定是否延长报名期限，则报名截止时间以更正公告中的约定为准。</w:t>
      </w:r>
    </w:p>
    <w:p>
      <w:pPr>
        <w:widowControl/>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7.竞争性谈判文件的获取：可至指定地点（宁德市东侨经济技术开发区闽东东路15号金禾商务中心12层有信公司业务部）现场办理书面报名登记；或采用邮件方式办理报名事宜（采用邮件方式办理的供应商报名事宜，务必电话联系）。</w:t>
      </w:r>
    </w:p>
    <w:p>
      <w:pPr>
        <w:widowControl/>
        <w:spacing w:line="500" w:lineRule="exact"/>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shd w:val="clear" w:color="auto" w:fill="FFFFFF"/>
        </w:rPr>
        <w:t>7.</w:t>
      </w:r>
      <w:r>
        <w:rPr>
          <w:rFonts w:ascii="宋体" w:hAnsi="宋体" w:cs="宋体"/>
          <w:color w:val="auto"/>
          <w:kern w:val="0"/>
          <w:sz w:val="24"/>
          <w:highlight w:val="none"/>
          <w:shd w:val="clear" w:color="auto" w:fill="FFFFFF"/>
        </w:rPr>
        <w:t>1</w:t>
      </w:r>
      <w:r>
        <w:rPr>
          <w:rFonts w:hint="eastAsia" w:ascii="宋体" w:hAnsi="宋体" w:cs="宋体"/>
          <w:color w:val="auto"/>
          <w:kern w:val="0"/>
          <w:sz w:val="24"/>
          <w:highlight w:val="none"/>
          <w:shd w:val="clear" w:color="auto" w:fill="FFFFFF"/>
          <w:lang w:eastAsia="zh-CN"/>
        </w:rPr>
        <w:t>谈判</w:t>
      </w:r>
      <w:r>
        <w:rPr>
          <w:rFonts w:ascii="宋体" w:hAnsi="宋体" w:cs="宋体"/>
          <w:color w:val="auto"/>
          <w:kern w:val="0"/>
          <w:sz w:val="24"/>
          <w:highlight w:val="none"/>
          <w:shd w:val="clear" w:color="auto" w:fill="FFFFFF"/>
        </w:rPr>
        <w:t>文件的提供期限</w:t>
      </w:r>
      <w:r>
        <w:rPr>
          <w:rFonts w:ascii="宋体" w:hAnsi="宋体" w:cs="宋体"/>
          <w:color w:val="auto"/>
          <w:sz w:val="24"/>
          <w:highlight w:val="none"/>
          <w:shd w:val="clear" w:color="auto" w:fill="FFFFFF"/>
        </w:rPr>
        <w:t>：</w:t>
      </w:r>
      <w:r>
        <w:rPr>
          <w:rFonts w:hint="eastAsia" w:ascii="宋体" w:hAnsi="宋体" w:cs="宋体"/>
          <w:color w:val="auto"/>
          <w:sz w:val="24"/>
          <w:highlight w:val="none"/>
        </w:rPr>
        <w:t>详见谈判公告或更正公告（若有），若不一致，以更正公告（若有）为准。</w:t>
      </w:r>
    </w:p>
    <w:p>
      <w:pPr>
        <w:widowControl/>
        <w:spacing w:line="5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7.2获取地点及方式：宁德市东侨经济技术开发区闽东东路15号金禾商务中心12层有信公司业务部。各潜在供应商到我司报名（获取采购文件）时须填写《采购文件领取登记表》，所填写的信息须真实、准确、完整，且不具有任何误导性。递交响应文件时供应商的名称要与获取采购文件时的名称相一致，除能提供相关部门出具的有效单位名称（姓名）变更证明外，否则我司将拒绝接收响应文件。</w:t>
      </w:r>
    </w:p>
    <w:p>
      <w:pPr>
        <w:widowControl/>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shd w:val="clear" w:color="auto" w:fill="FFFFFF"/>
        </w:rPr>
        <w:t>7.3</w:t>
      </w:r>
      <w:r>
        <w:rPr>
          <w:rFonts w:ascii="宋体" w:hAnsi="宋体" w:cs="宋体"/>
          <w:color w:val="auto"/>
          <w:kern w:val="0"/>
          <w:sz w:val="24"/>
          <w:highlight w:val="none"/>
        </w:rPr>
        <w:t>采购文件售价：</w:t>
      </w:r>
      <w:r>
        <w:rPr>
          <w:rFonts w:ascii="宋体" w:hAnsi="宋体" w:cs="宋体"/>
          <w:color w:val="auto"/>
          <w:kern w:val="0"/>
          <w:sz w:val="24"/>
          <w:highlight w:val="none"/>
          <w:shd w:val="clear" w:color="auto" w:fill="FFFFFF"/>
        </w:rPr>
        <w:t>0元。</w:t>
      </w:r>
    </w:p>
    <w:p>
      <w:pPr>
        <w:widowControl/>
        <w:numPr>
          <w:ilvl w:val="0"/>
          <w:numId w:val="1"/>
        </w:numPr>
        <w:spacing w:line="500" w:lineRule="exact"/>
        <w:ind w:firstLine="480" w:firstLineChars="200"/>
        <w:jc w:val="left"/>
        <w:rPr>
          <w:rFonts w:hint="eastAsia" w:ascii="宋体" w:hAnsi="宋体"/>
          <w:color w:val="auto"/>
          <w:sz w:val="24"/>
          <w:highlight w:val="none"/>
        </w:rPr>
      </w:pPr>
      <w:r>
        <w:rPr>
          <w:rFonts w:ascii="宋体" w:hAnsi="宋体" w:cs="宋体"/>
          <w:color w:val="auto"/>
          <w:kern w:val="0"/>
          <w:sz w:val="24"/>
          <w:highlight w:val="none"/>
          <w:shd w:val="clear" w:color="auto" w:fill="FFFFFF"/>
        </w:rPr>
        <w:t>首次响应文件递交截止时间</w:t>
      </w:r>
      <w:r>
        <w:rPr>
          <w:rFonts w:hint="eastAsia" w:ascii="宋体" w:hAnsi="宋体" w:cs="宋体"/>
          <w:color w:val="auto"/>
          <w:kern w:val="0"/>
          <w:sz w:val="24"/>
          <w:highlight w:val="none"/>
          <w:shd w:val="clear" w:color="auto" w:fill="FFFFFF"/>
        </w:rPr>
        <w:t>及谈判时间</w:t>
      </w:r>
      <w:r>
        <w:rPr>
          <w:rFonts w:ascii="宋体" w:hAnsi="宋体" w:cs="宋体"/>
          <w:color w:val="auto"/>
          <w:kern w:val="0"/>
          <w:sz w:val="24"/>
          <w:highlight w:val="none"/>
          <w:shd w:val="clear" w:color="auto" w:fill="FFFFFF"/>
        </w:rPr>
        <w:t>：</w:t>
      </w:r>
      <w:r>
        <w:rPr>
          <w:rFonts w:hint="eastAsia" w:ascii="宋体" w:hAnsi="宋体"/>
          <w:color w:val="auto"/>
          <w:sz w:val="24"/>
          <w:highlight w:val="none"/>
        </w:rPr>
        <w:t>详见竞争性谈判公告或更正公告（若有），若不一致，以更正公告（若有）为准。</w:t>
      </w:r>
    </w:p>
    <w:p>
      <w:pPr>
        <w:widowControl/>
        <w:numPr>
          <w:ilvl w:val="0"/>
          <w:numId w:val="1"/>
        </w:numPr>
        <w:spacing w:line="500" w:lineRule="exact"/>
        <w:ind w:firstLine="480" w:firstLineChars="200"/>
        <w:jc w:val="left"/>
        <w:rPr>
          <w:rFonts w:hint="eastAsia" w:ascii="宋体" w:hAnsi="宋体" w:cs="宋体"/>
          <w:color w:val="auto"/>
          <w:kern w:val="0"/>
          <w:sz w:val="24"/>
          <w:highlight w:val="none"/>
        </w:rPr>
      </w:pPr>
      <w:r>
        <w:rPr>
          <w:rFonts w:ascii="宋体" w:hAnsi="宋体" w:cs="宋体"/>
          <w:color w:val="auto"/>
          <w:kern w:val="0"/>
          <w:sz w:val="24"/>
          <w:highlight w:val="none"/>
          <w:shd w:val="clear" w:color="auto" w:fill="FFFFFF"/>
        </w:rPr>
        <w:t>首次响应文件递交</w:t>
      </w:r>
      <w:r>
        <w:rPr>
          <w:rFonts w:hint="eastAsia" w:ascii="宋体" w:hAnsi="宋体" w:cs="宋体"/>
          <w:color w:val="auto"/>
          <w:kern w:val="0"/>
          <w:sz w:val="24"/>
          <w:highlight w:val="none"/>
          <w:shd w:val="clear" w:color="auto" w:fill="FFFFFF"/>
        </w:rPr>
        <w:t>地点及谈判地点：</w:t>
      </w:r>
      <w:r>
        <w:rPr>
          <w:rFonts w:hint="eastAsia" w:ascii="宋体" w:hAnsi="宋体" w:cs="宋体"/>
          <w:color w:val="auto"/>
          <w:kern w:val="0"/>
          <w:sz w:val="24"/>
          <w:highlight w:val="none"/>
        </w:rPr>
        <w:t>供应商应在</w:t>
      </w:r>
      <w:r>
        <w:rPr>
          <w:rFonts w:ascii="宋体" w:hAnsi="宋体" w:cs="宋体"/>
          <w:color w:val="auto"/>
          <w:kern w:val="0"/>
          <w:sz w:val="24"/>
          <w:highlight w:val="none"/>
          <w:shd w:val="clear" w:color="auto" w:fill="FFFFFF"/>
        </w:rPr>
        <w:t>首次响应文件递交截止时间</w:t>
      </w:r>
      <w:r>
        <w:rPr>
          <w:rFonts w:hint="eastAsia" w:ascii="宋体" w:hAnsi="宋体" w:cs="宋体"/>
          <w:color w:val="auto"/>
          <w:kern w:val="0"/>
          <w:sz w:val="24"/>
          <w:highlight w:val="none"/>
        </w:rPr>
        <w:t>之前将密封的响应文件送达指定地点（宁德市东侨经济技术开发区闽东东路15号金禾商务中心12层有信公司</w:t>
      </w:r>
      <w:r>
        <w:rPr>
          <w:rFonts w:hint="eastAsia" w:ascii="宋体" w:hAnsi="宋体" w:cs="宋体"/>
          <w:color w:val="auto"/>
          <w:kern w:val="0"/>
          <w:sz w:val="24"/>
          <w:highlight w:val="none"/>
          <w:lang w:eastAsia="zh-CN"/>
        </w:rPr>
        <w:t>开标室</w:t>
      </w:r>
      <w:r>
        <w:rPr>
          <w:rFonts w:hint="eastAsia" w:ascii="宋体" w:hAnsi="宋体" w:cs="宋体"/>
          <w:color w:val="auto"/>
          <w:kern w:val="0"/>
          <w:sz w:val="24"/>
          <w:highlight w:val="none"/>
        </w:rPr>
        <w:t>），逾期送达的或不符合规定的响应文件将被拒绝接收。</w:t>
      </w:r>
    </w:p>
    <w:p>
      <w:pPr>
        <w:spacing w:line="500" w:lineRule="exact"/>
        <w:ind w:firstLine="484" w:firstLineChars="202"/>
        <w:rPr>
          <w:rFonts w:ascii="宋体" w:hAnsi="宋体" w:cs="宋体"/>
          <w:color w:val="auto"/>
          <w:kern w:val="0"/>
          <w:sz w:val="24"/>
          <w:highlight w:val="none"/>
        </w:rPr>
      </w:pPr>
      <w:r>
        <w:rPr>
          <w:rFonts w:hint="eastAsia" w:ascii="宋体" w:hAnsi="宋体" w:cs="宋体"/>
          <w:color w:val="auto"/>
          <w:kern w:val="0"/>
          <w:sz w:val="24"/>
          <w:highlight w:val="none"/>
        </w:rPr>
        <w:t>10.</w:t>
      </w:r>
      <w:r>
        <w:rPr>
          <w:rFonts w:ascii="宋体" w:hAnsi="宋体" w:cs="宋体"/>
          <w:color w:val="auto"/>
          <w:kern w:val="0"/>
          <w:sz w:val="24"/>
          <w:highlight w:val="none"/>
        </w:rPr>
        <w:t xml:space="preserve"> 竞争性谈判公告期限：</w:t>
      </w:r>
      <w:r>
        <w:rPr>
          <w:rFonts w:hint="eastAsia" w:ascii="宋体" w:hAnsi="宋体"/>
          <w:color w:val="auto"/>
          <w:sz w:val="24"/>
          <w:highlight w:val="none"/>
        </w:rPr>
        <w:t>自发布公告之日起3个工作日。</w:t>
      </w:r>
    </w:p>
    <w:p>
      <w:pPr>
        <w:widowControl/>
        <w:spacing w:line="500" w:lineRule="exact"/>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11. 采购人：福建闽东电力股份有限公司</w:t>
      </w:r>
    </w:p>
    <w:p>
      <w:pPr>
        <w:widowControl/>
        <w:spacing w:line="500" w:lineRule="exact"/>
        <w:ind w:firstLine="960" w:firstLineChars="4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地址：福建省宁德市蕉城区蕉城南路68号东晟泰丽园1号楼3层</w:t>
      </w:r>
    </w:p>
    <w:p>
      <w:pPr>
        <w:widowControl/>
        <w:spacing w:line="500" w:lineRule="exact"/>
        <w:ind w:firstLine="960" w:firstLineChars="4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联系人：梁先生</w:t>
      </w:r>
    </w:p>
    <w:p>
      <w:pPr>
        <w:widowControl/>
        <w:spacing w:line="500" w:lineRule="exact"/>
        <w:ind w:firstLine="960" w:firstLineChars="400"/>
        <w:jc w:val="left"/>
        <w:rPr>
          <w:rFonts w:hint="eastAsia"/>
          <w:color w:val="auto"/>
          <w:highlight w:val="none"/>
        </w:rPr>
      </w:pPr>
      <w:r>
        <w:rPr>
          <w:rFonts w:hint="eastAsia" w:ascii="宋体" w:hAnsi="宋体" w:eastAsia="宋体" w:cs="宋体"/>
          <w:color w:val="auto"/>
          <w:kern w:val="0"/>
          <w:sz w:val="24"/>
          <w:highlight w:val="none"/>
        </w:rPr>
        <w:t>联系方法：0593-2768936</w:t>
      </w:r>
    </w:p>
    <w:p>
      <w:pPr>
        <w:widowControl/>
        <w:spacing w:line="500" w:lineRule="exact"/>
        <w:ind w:firstLine="960" w:firstLineChars="4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代理机构：宁德市有信产权交易服务有限公司</w:t>
      </w:r>
    </w:p>
    <w:p>
      <w:pPr>
        <w:widowControl/>
        <w:spacing w:line="500" w:lineRule="exact"/>
        <w:ind w:firstLine="960" w:firstLineChars="4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地址：</w:t>
      </w:r>
      <w:r>
        <w:rPr>
          <w:rFonts w:hint="eastAsia" w:ascii="宋体" w:hAnsi="宋体" w:cs="宋体"/>
          <w:color w:val="auto"/>
          <w:kern w:val="0"/>
          <w:sz w:val="24"/>
          <w:highlight w:val="none"/>
          <w:lang w:eastAsia="zh-CN"/>
        </w:rPr>
        <w:t>宁德市东侨经济技术开发区闽东东路</w:t>
      </w:r>
      <w:r>
        <w:rPr>
          <w:rFonts w:hint="eastAsia" w:ascii="宋体" w:hAnsi="宋体" w:cs="宋体"/>
          <w:color w:val="auto"/>
          <w:kern w:val="0"/>
          <w:sz w:val="24"/>
          <w:highlight w:val="none"/>
          <w:lang w:val="en-US" w:eastAsia="zh-CN"/>
        </w:rPr>
        <w:t>15号金禾商务中心12层</w:t>
      </w:r>
    </w:p>
    <w:p>
      <w:pPr>
        <w:widowControl/>
        <w:spacing w:line="500" w:lineRule="exact"/>
        <w:ind w:firstLine="960" w:firstLineChars="400"/>
        <w:jc w:val="left"/>
        <w:rPr>
          <w:rFonts w:hint="eastAsia" w:ascii="宋体" w:hAnsi="宋体" w:eastAsia="宋体" w:cs="宋体"/>
          <w:color w:val="auto"/>
          <w:kern w:val="0"/>
          <w:sz w:val="24"/>
          <w:highlight w:val="none"/>
          <w:lang w:eastAsia="zh-CN"/>
        </w:rPr>
      </w:pPr>
      <w:r>
        <w:rPr>
          <w:rFonts w:ascii="宋体" w:hAnsi="宋体" w:cs="宋体"/>
          <w:color w:val="auto"/>
          <w:kern w:val="0"/>
          <w:sz w:val="24"/>
          <w:highlight w:val="none"/>
        </w:rPr>
        <w:t>联系人：</w:t>
      </w:r>
      <w:r>
        <w:rPr>
          <w:rFonts w:hint="eastAsia" w:ascii="宋体" w:hAnsi="宋体" w:cs="宋体"/>
          <w:color w:val="auto"/>
          <w:kern w:val="0"/>
          <w:sz w:val="24"/>
          <w:highlight w:val="none"/>
          <w:lang w:val="en-US" w:eastAsia="zh-CN"/>
        </w:rPr>
        <w:t xml:space="preserve">彭女士  </w:t>
      </w:r>
    </w:p>
    <w:p>
      <w:pPr>
        <w:widowControl/>
        <w:spacing w:line="500" w:lineRule="exact"/>
        <w:ind w:firstLine="960" w:firstLineChars="400"/>
        <w:jc w:val="left"/>
        <w:rPr>
          <w:rFonts w:hint="eastAsia" w:ascii="宋体" w:hAnsi="宋体" w:cs="宋体"/>
          <w:color w:val="auto"/>
          <w:kern w:val="0"/>
          <w:sz w:val="24"/>
          <w:highlight w:val="none"/>
        </w:rPr>
      </w:pPr>
      <w:r>
        <w:rPr>
          <w:rFonts w:ascii="宋体" w:hAnsi="宋体" w:cs="宋体"/>
          <w:color w:val="auto"/>
          <w:kern w:val="0"/>
          <w:sz w:val="24"/>
          <w:highlight w:val="none"/>
        </w:rPr>
        <w:t>联系方法：0593</w:t>
      </w:r>
      <w:r>
        <w:rPr>
          <w:rFonts w:hint="eastAsia" w:ascii="宋体" w:hAnsi="宋体" w:cs="宋体"/>
          <w:color w:val="auto"/>
          <w:kern w:val="0"/>
          <w:sz w:val="24"/>
          <w:highlight w:val="none"/>
        </w:rPr>
        <w:t>-</w:t>
      </w:r>
      <w:r>
        <w:rPr>
          <w:rFonts w:ascii="宋体" w:hAnsi="宋体" w:cs="宋体"/>
          <w:color w:val="auto"/>
          <w:kern w:val="0"/>
          <w:sz w:val="24"/>
          <w:highlight w:val="none"/>
        </w:rPr>
        <w:t>2</w:t>
      </w:r>
      <w:r>
        <w:rPr>
          <w:rFonts w:hint="eastAsia" w:ascii="宋体" w:hAnsi="宋体" w:cs="宋体"/>
          <w:color w:val="auto"/>
          <w:kern w:val="0"/>
          <w:sz w:val="24"/>
          <w:highlight w:val="none"/>
        </w:rPr>
        <w:t>292676</w:t>
      </w:r>
    </w:p>
    <w:p>
      <w:pPr>
        <w:widowControl/>
        <w:spacing w:line="500" w:lineRule="exact"/>
        <w:ind w:firstLine="480"/>
        <w:jc w:val="left"/>
        <w:rPr>
          <w:rFonts w:hint="eastAsia" w:ascii="宋体" w:hAnsi="宋体" w:cs="宋体"/>
          <w:color w:val="auto"/>
          <w:kern w:val="0"/>
          <w:sz w:val="24"/>
          <w:highlight w:val="none"/>
        </w:rPr>
      </w:pPr>
      <w:r>
        <w:rPr>
          <w:rFonts w:ascii="宋体" w:hAnsi="宋体" w:cs="宋体"/>
          <w:color w:val="auto"/>
          <w:sz w:val="24"/>
          <w:highlight w:val="none"/>
        </w:rPr>
        <w:t>附</w:t>
      </w:r>
      <w:r>
        <w:rPr>
          <w:rFonts w:hint="eastAsia" w:ascii="宋体" w:hAnsi="宋体" w:cs="宋体"/>
          <w:color w:val="auto"/>
          <w:sz w:val="24"/>
          <w:highlight w:val="none"/>
        </w:rPr>
        <w:t>1：银行账户信息</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8516" w:type="dxa"/>
            <w:noWrap w:val="0"/>
            <w:tcMar>
              <w:top w:w="0" w:type="dxa"/>
              <w:left w:w="105" w:type="dxa"/>
              <w:bottom w:w="0" w:type="dxa"/>
              <w:right w:w="105" w:type="dxa"/>
            </w:tcMar>
            <w:vAlign w:val="center"/>
          </w:tcPr>
          <w:p>
            <w:pPr>
              <w:spacing w:line="500" w:lineRule="exact"/>
              <w:ind w:firstLine="487" w:firstLineChars="202"/>
              <w:rPr>
                <w:rFonts w:ascii="宋体" w:hAnsi="宋体"/>
                <w:color w:val="auto"/>
                <w:sz w:val="24"/>
                <w:highlight w:val="none"/>
              </w:rPr>
            </w:pPr>
            <w:r>
              <w:rPr>
                <w:rStyle w:val="21"/>
                <w:rFonts w:hint="eastAsia" w:ascii="宋体" w:hAnsi="宋体" w:cs="宋体"/>
                <w:color w:val="auto"/>
                <w:sz w:val="24"/>
                <w:highlight w:val="none"/>
              </w:rPr>
              <w:t>谈判保证金账户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8516" w:type="dxa"/>
            <w:noWrap w:val="0"/>
            <w:tcMar>
              <w:top w:w="0" w:type="dxa"/>
              <w:left w:w="105" w:type="dxa"/>
              <w:bottom w:w="0" w:type="dxa"/>
              <w:right w:w="105" w:type="dxa"/>
            </w:tcMar>
            <w:vAlign w:val="top"/>
          </w:tcPr>
          <w:p>
            <w:pPr>
              <w:spacing w:line="500" w:lineRule="exact"/>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开户名称：宁德市有信产权交易服务有限公司</w:t>
            </w:r>
          </w:p>
          <w:p>
            <w:pPr>
              <w:spacing w:line="500" w:lineRule="exact"/>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开户银行：泉州银行股份有限公司宁德分行</w:t>
            </w:r>
          </w:p>
          <w:p>
            <w:pPr>
              <w:keepNext w:val="0"/>
              <w:keepLines w:val="0"/>
              <w:pageBreakBefore w:val="0"/>
              <w:kinsoku/>
              <w:wordWrap/>
              <w:overflowPunct/>
              <w:topLinePunct w:val="0"/>
              <w:bidi w:val="0"/>
              <w:snapToGrid/>
              <w:spacing w:line="500" w:lineRule="exact"/>
              <w:ind w:firstLine="424" w:firstLineChars="202"/>
              <w:outlineLvl w:val="9"/>
              <w:rPr>
                <w:rFonts w:ascii="宋体" w:hAnsi="宋体"/>
                <w:color w:val="auto"/>
                <w:sz w:val="24"/>
                <w:highlight w:val="none"/>
              </w:rPr>
            </w:pPr>
            <w:r>
              <w:rPr>
                <w:rFonts w:hint="eastAsia" w:ascii="宋体" w:hAnsi="宋体" w:eastAsia="宋体" w:cs="宋体"/>
                <w:color w:val="auto"/>
                <w:szCs w:val="21"/>
                <w:highlight w:val="none"/>
              </w:rPr>
              <w:t>开户</w:t>
            </w:r>
            <w:r>
              <w:rPr>
                <w:rFonts w:hint="eastAsia" w:ascii="宋体" w:hAnsi="宋体" w:eastAsia="宋体" w:cs="宋体"/>
                <w:color w:val="auto"/>
                <w:szCs w:val="21"/>
                <w:highlight w:val="none"/>
                <w:lang w:eastAsia="zh-CN"/>
              </w:rPr>
              <w:t>账号</w:t>
            </w:r>
            <w:r>
              <w:rPr>
                <w:rFonts w:hint="eastAsia" w:ascii="宋体" w:hAnsi="宋体" w:eastAsia="宋体" w:cs="宋体"/>
                <w:color w:val="auto"/>
                <w:szCs w:val="21"/>
                <w:highlight w:val="none"/>
              </w:rPr>
              <w:t>：0000024507886012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8516" w:type="dxa"/>
            <w:noWrap w:val="0"/>
            <w:tcMar>
              <w:top w:w="0" w:type="dxa"/>
              <w:left w:w="105" w:type="dxa"/>
              <w:bottom w:w="0" w:type="dxa"/>
              <w:right w:w="105" w:type="dxa"/>
            </w:tcMar>
            <w:vAlign w:val="top"/>
          </w:tcPr>
          <w:p>
            <w:pPr>
              <w:keepNext w:val="0"/>
              <w:keepLines w:val="0"/>
              <w:pageBreakBefore w:val="0"/>
              <w:kinsoku/>
              <w:wordWrap/>
              <w:overflowPunct/>
              <w:topLinePunct w:val="0"/>
              <w:bidi w:val="0"/>
              <w:snapToGrid/>
              <w:spacing w:line="500" w:lineRule="exact"/>
              <w:ind w:firstLine="487" w:firstLineChars="202"/>
              <w:outlineLvl w:val="9"/>
              <w:rPr>
                <w:rFonts w:hint="eastAsia" w:ascii="宋体" w:hAnsi="宋体"/>
                <w:b/>
                <w:color w:val="auto"/>
                <w:sz w:val="24"/>
                <w:highlight w:val="none"/>
              </w:rPr>
            </w:pPr>
            <w:r>
              <w:rPr>
                <w:rFonts w:hint="eastAsia" w:ascii="宋体" w:hAnsi="宋体" w:eastAsia="宋体" w:cs="宋体"/>
                <w:b/>
                <w:color w:val="auto"/>
                <w:sz w:val="24"/>
                <w:highlight w:val="none"/>
              </w:rPr>
              <w:t>服务费专户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8516" w:type="dxa"/>
            <w:noWrap w:val="0"/>
            <w:tcMar>
              <w:top w:w="0" w:type="dxa"/>
              <w:left w:w="105" w:type="dxa"/>
              <w:bottom w:w="0" w:type="dxa"/>
              <w:right w:w="105" w:type="dxa"/>
            </w:tcMar>
            <w:vAlign w:val="top"/>
          </w:tcPr>
          <w:p>
            <w:pPr>
              <w:spacing w:line="500" w:lineRule="exact"/>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开户名称：宁德市有信产权交易服务有限公司</w:t>
            </w:r>
          </w:p>
          <w:p>
            <w:pPr>
              <w:spacing w:line="500" w:lineRule="exact"/>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开户银行：邮储银行宁德市东侨开发区支行</w:t>
            </w:r>
          </w:p>
          <w:p>
            <w:pPr>
              <w:keepNext w:val="0"/>
              <w:keepLines w:val="0"/>
              <w:pageBreakBefore w:val="0"/>
              <w:kinsoku/>
              <w:wordWrap/>
              <w:overflowPunct/>
              <w:topLinePunct w:val="0"/>
              <w:bidi w:val="0"/>
              <w:snapToGrid/>
              <w:spacing w:line="500" w:lineRule="exact"/>
              <w:ind w:firstLine="424" w:firstLineChars="202"/>
              <w:outlineLvl w:val="9"/>
              <w:rPr>
                <w:rFonts w:hint="eastAsia" w:ascii="宋体" w:hAnsi="宋体"/>
                <w:color w:val="auto"/>
                <w:sz w:val="24"/>
                <w:highlight w:val="none"/>
              </w:rPr>
            </w:pPr>
            <w:r>
              <w:rPr>
                <w:rFonts w:hint="eastAsia" w:ascii="宋体" w:hAnsi="宋体" w:eastAsia="宋体" w:cs="宋体"/>
                <w:color w:val="auto"/>
                <w:szCs w:val="21"/>
                <w:highlight w:val="none"/>
              </w:rPr>
              <w:t>开户</w:t>
            </w:r>
            <w:r>
              <w:rPr>
                <w:rFonts w:hint="eastAsia" w:ascii="宋体" w:hAnsi="宋体" w:eastAsia="宋体" w:cs="宋体"/>
                <w:color w:val="auto"/>
                <w:szCs w:val="21"/>
                <w:highlight w:val="none"/>
                <w:lang w:val="en-US" w:eastAsia="zh-CN"/>
              </w:rPr>
              <w:t>账</w:t>
            </w:r>
            <w:r>
              <w:rPr>
                <w:rFonts w:hint="eastAsia" w:ascii="宋体" w:hAnsi="宋体" w:eastAsia="宋体" w:cs="宋体"/>
                <w:color w:val="auto"/>
                <w:szCs w:val="21"/>
                <w:highlight w:val="none"/>
              </w:rPr>
              <w:t>号：935001010003468889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8516" w:type="dxa"/>
            <w:noWrap w:val="0"/>
            <w:tcMar>
              <w:top w:w="0" w:type="dxa"/>
              <w:left w:w="105" w:type="dxa"/>
              <w:bottom w:w="0" w:type="dxa"/>
              <w:right w:w="105" w:type="dxa"/>
            </w:tcMar>
            <w:vAlign w:val="center"/>
          </w:tcPr>
          <w:p>
            <w:pPr>
              <w:keepNext w:val="0"/>
              <w:keepLines w:val="0"/>
              <w:pageBreakBefore w:val="0"/>
              <w:kinsoku/>
              <w:wordWrap/>
              <w:overflowPunct/>
              <w:topLinePunct w:val="0"/>
              <w:bidi w:val="0"/>
              <w:snapToGrid/>
              <w:spacing w:line="500" w:lineRule="exact"/>
              <w:ind w:firstLine="487" w:firstLineChars="202"/>
              <w:outlineLvl w:val="9"/>
              <w:rPr>
                <w:rFonts w:ascii="宋体" w:hAnsi="宋体"/>
                <w:color w:val="auto"/>
                <w:sz w:val="24"/>
                <w:highlight w:val="none"/>
              </w:rPr>
            </w:pPr>
            <w:r>
              <w:rPr>
                <w:rFonts w:hint="eastAsia" w:ascii="宋体" w:hAnsi="宋体" w:eastAsia="宋体" w:cs="宋体"/>
                <w:b/>
                <w:bCs/>
                <w:color w:val="auto"/>
                <w:sz w:val="24"/>
                <w:highlight w:val="none"/>
              </w:rPr>
              <w:t>特别提示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8516" w:type="dxa"/>
            <w:noWrap w:val="0"/>
            <w:tcMar>
              <w:top w:w="0" w:type="dxa"/>
              <w:left w:w="105" w:type="dxa"/>
              <w:bottom w:w="0" w:type="dxa"/>
              <w:right w:w="105" w:type="dxa"/>
            </w:tcMar>
            <w:vAlign w:val="top"/>
          </w:tcPr>
          <w:p>
            <w:pPr>
              <w:spacing w:line="500" w:lineRule="exact"/>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1、请供应商务必认真核对账户信息，将谈判保证金款项汇入对应账户，并自行承担因款项汇错而产生的一切后果。</w:t>
            </w:r>
          </w:p>
          <w:p>
            <w:pPr>
              <w:spacing w:line="500" w:lineRule="exact"/>
              <w:ind w:firstLine="424" w:firstLineChars="202"/>
              <w:rPr>
                <w:rFonts w:ascii="宋体" w:hAnsi="宋体"/>
                <w:color w:val="auto"/>
                <w:sz w:val="24"/>
                <w:highlight w:val="none"/>
              </w:rPr>
            </w:pPr>
            <w:r>
              <w:rPr>
                <w:rFonts w:hint="eastAsia" w:ascii="宋体" w:hAnsi="宋体" w:eastAsia="宋体" w:cs="宋体"/>
                <w:color w:val="auto"/>
                <w:szCs w:val="21"/>
                <w:highlight w:val="none"/>
              </w:rPr>
              <w:t>2、请供应商在转账或电汇的凭证上务必按照以下格式注明，以便核对：“（项目编号：***、</w:t>
            </w:r>
            <w:r>
              <w:rPr>
                <w:rFonts w:hint="eastAsia" w:ascii="宋体" w:hAnsi="宋体" w:eastAsia="宋体" w:cs="宋体"/>
                <w:color w:val="auto"/>
                <w:szCs w:val="21"/>
                <w:highlight w:val="none"/>
                <w:lang w:eastAsia="zh-CN"/>
              </w:rPr>
              <w:t>采购包</w:t>
            </w:r>
            <w:r>
              <w:rPr>
                <w:rFonts w:hint="eastAsia" w:ascii="宋体" w:hAnsi="宋体" w:eastAsia="宋体" w:cs="宋体"/>
                <w:color w:val="auto"/>
                <w:szCs w:val="21"/>
                <w:highlight w:val="none"/>
              </w:rPr>
              <w:t>：***）的谈判保证金”</w:t>
            </w:r>
            <w:r>
              <w:rPr>
                <w:rFonts w:hint="eastAsia" w:ascii="宋体" w:hAnsi="宋体" w:eastAsia="宋体" w:cs="宋体"/>
                <w:color w:val="auto"/>
                <w:szCs w:val="21"/>
                <w:highlight w:val="none"/>
                <w:lang w:eastAsia="zh-CN"/>
              </w:rPr>
              <w:t>等字眼</w:t>
            </w:r>
            <w:r>
              <w:rPr>
                <w:rFonts w:hint="eastAsia" w:ascii="宋体" w:hAnsi="宋体" w:eastAsia="宋体" w:cs="宋体"/>
                <w:color w:val="auto"/>
                <w:szCs w:val="21"/>
                <w:highlight w:val="none"/>
              </w:rPr>
              <w:t>。</w:t>
            </w:r>
          </w:p>
        </w:tc>
      </w:tr>
    </w:tbl>
    <w:p>
      <w:pPr>
        <w:pStyle w:val="17"/>
        <w:jc w:val="both"/>
        <w:rPr>
          <w:rFonts w:hint="eastAsia" w:ascii="宋体" w:hAnsi="宋体" w:cs="宋体"/>
          <w:color w:val="auto"/>
          <w:kern w:val="0"/>
          <w:sz w:val="24"/>
          <w:szCs w:val="24"/>
          <w:highlight w:val="none"/>
        </w:rPr>
      </w:pPr>
      <w:r>
        <w:rPr>
          <w:rFonts w:hint="eastAsia"/>
          <w:color w:val="auto"/>
          <w:kern w:val="0"/>
          <w:highlight w:val="none"/>
        </w:rPr>
        <w:br w:type="page"/>
      </w:r>
      <w:r>
        <w:rPr>
          <w:rFonts w:hint="eastAsia" w:ascii="宋体" w:hAnsi="宋体" w:cs="宋体"/>
          <w:color w:val="auto"/>
          <w:kern w:val="0"/>
          <w:sz w:val="24"/>
          <w:szCs w:val="24"/>
          <w:highlight w:val="none"/>
        </w:rPr>
        <w:t>附2：采购标的一览表</w:t>
      </w:r>
    </w:p>
    <w:p>
      <w:pPr>
        <w:widowControl/>
        <w:spacing w:before="100" w:beforeAutospacing="1" w:after="100" w:afterAutospacing="1" w:line="500" w:lineRule="exact"/>
        <w:ind w:left="0" w:right="0"/>
        <w:jc w:val="right"/>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金额单位：人民币 元</w:t>
      </w:r>
    </w:p>
    <w:tbl>
      <w:tblPr>
        <w:tblStyle w:val="18"/>
        <w:tblW w:w="99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17"/>
        <w:gridCol w:w="391"/>
        <w:gridCol w:w="2293"/>
        <w:gridCol w:w="1024"/>
        <w:gridCol w:w="1459"/>
        <w:gridCol w:w="1899"/>
        <w:gridCol w:w="876"/>
        <w:gridCol w:w="806"/>
        <w:gridCol w:w="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3" w:hRule="atLeast"/>
          <w:tblHeader/>
          <w:jc w:val="center"/>
        </w:trPr>
        <w:tc>
          <w:tcPr>
            <w:tcW w:w="417"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采购包</w:t>
            </w:r>
          </w:p>
        </w:tc>
        <w:tc>
          <w:tcPr>
            <w:tcW w:w="391"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品目号</w:t>
            </w:r>
          </w:p>
        </w:tc>
        <w:tc>
          <w:tcPr>
            <w:tcW w:w="229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采购标的</w:t>
            </w:r>
          </w:p>
        </w:tc>
        <w:tc>
          <w:tcPr>
            <w:tcW w:w="1024"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预估数量（人）</w:t>
            </w:r>
          </w:p>
        </w:tc>
        <w:tc>
          <w:tcPr>
            <w:tcW w:w="1459"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最高单价（元/人）</w:t>
            </w:r>
          </w:p>
        </w:tc>
        <w:tc>
          <w:tcPr>
            <w:tcW w:w="1899"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品目最高预算价（元）</w:t>
            </w:r>
          </w:p>
        </w:tc>
        <w:tc>
          <w:tcPr>
            <w:tcW w:w="87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最高预算价（元）</w:t>
            </w:r>
          </w:p>
        </w:tc>
        <w:tc>
          <w:tcPr>
            <w:tcW w:w="80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允许进口</w:t>
            </w:r>
          </w:p>
        </w:tc>
        <w:tc>
          <w:tcPr>
            <w:tcW w:w="811"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保证金（元）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70" w:hRule="atLeast"/>
          <w:tblHeader/>
          <w:jc w:val="center"/>
        </w:trPr>
        <w:tc>
          <w:tcPr>
            <w:tcW w:w="417" w:type="dxa"/>
            <w:vMerge w:val="restart"/>
            <w:tcBorders>
              <w:top w:val="outset" w:color="auto" w:sz="6" w:space="0"/>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p>
            <w:pPr>
              <w:widowControl/>
              <w:jc w:val="center"/>
              <w:rPr>
                <w:rFonts w:hint="eastAsia" w:ascii="宋体" w:hAnsi="宋体" w:eastAsia="宋体" w:cs="宋体"/>
                <w:color w:val="auto"/>
                <w:szCs w:val="21"/>
                <w:highlight w:val="none"/>
              </w:rPr>
            </w:pPr>
          </w:p>
        </w:tc>
        <w:tc>
          <w:tcPr>
            <w:tcW w:w="391"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229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职工团体补充医疗保险</w:t>
            </w:r>
          </w:p>
        </w:tc>
        <w:tc>
          <w:tcPr>
            <w:tcW w:w="1024"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eastAsia="宋体" w:cs="宋体"/>
                <w:color w:val="auto"/>
                <w:szCs w:val="21"/>
                <w:highlight w:val="none"/>
              </w:rPr>
            </w:pPr>
            <w:r>
              <w:rPr>
                <w:rFonts w:hint="eastAsia" w:ascii="宋体" w:hAnsi="宋体" w:eastAsia="宋体" w:cs="宋体"/>
                <w:color w:val="auto"/>
                <w:szCs w:val="21"/>
                <w:highlight w:val="none"/>
              </w:rPr>
              <w:t>1760</w:t>
            </w:r>
          </w:p>
        </w:tc>
        <w:tc>
          <w:tcPr>
            <w:tcW w:w="1459"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1430</w:t>
            </w:r>
          </w:p>
        </w:tc>
        <w:tc>
          <w:tcPr>
            <w:tcW w:w="1899"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2516800</w:t>
            </w:r>
          </w:p>
        </w:tc>
        <w:tc>
          <w:tcPr>
            <w:tcW w:w="876" w:type="dxa"/>
            <w:vMerge w:val="restart"/>
            <w:tcBorders>
              <w:top w:val="outset" w:color="auto" w:sz="6" w:space="0"/>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2600000</w:t>
            </w:r>
          </w:p>
        </w:tc>
        <w:tc>
          <w:tcPr>
            <w:tcW w:w="806" w:type="dxa"/>
            <w:vMerge w:val="restart"/>
            <w:tcBorders>
              <w:top w:val="outset" w:color="auto" w:sz="6" w:space="0"/>
              <w:left w:val="outset" w:color="auto" w:sz="6" w:space="0"/>
              <w:right w:val="outset" w:color="auto" w:sz="6" w:space="0"/>
            </w:tcBorders>
            <w:noWrap w:val="0"/>
            <w:vAlign w:val="center"/>
          </w:tcPr>
          <w:p>
            <w:pPr>
              <w:widowControl/>
              <w:jc w:val="center"/>
              <w:rPr>
                <w:rFonts w:ascii="宋体" w:hAnsi="宋体" w:eastAsia="宋体" w:cs="宋体"/>
                <w:color w:val="auto"/>
                <w:szCs w:val="21"/>
                <w:highlight w:val="none"/>
              </w:rPr>
            </w:pPr>
            <w:r>
              <w:rPr>
                <w:rFonts w:hint="eastAsia" w:ascii="宋体" w:hAnsi="宋体" w:eastAsia="宋体" w:cs="宋体"/>
                <w:color w:val="auto"/>
                <w:szCs w:val="21"/>
                <w:highlight w:val="none"/>
              </w:rPr>
              <w:t>否</w:t>
            </w:r>
          </w:p>
        </w:tc>
        <w:tc>
          <w:tcPr>
            <w:tcW w:w="811" w:type="dxa"/>
            <w:vMerge w:val="restart"/>
            <w:tcBorders>
              <w:top w:val="outset" w:color="auto" w:sz="6" w:space="0"/>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4" w:hRule="atLeast"/>
          <w:tblHeader/>
          <w:jc w:val="center"/>
        </w:trPr>
        <w:tc>
          <w:tcPr>
            <w:tcW w:w="417" w:type="dxa"/>
            <w:vMerge w:val="continue"/>
            <w:tcBorders>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p>
        </w:tc>
        <w:tc>
          <w:tcPr>
            <w:tcW w:w="391"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229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职工</w:t>
            </w:r>
            <w:r>
              <w:rPr>
                <w:rFonts w:hint="eastAsia" w:ascii="宋体" w:hAnsi="宋体" w:eastAsia="宋体" w:cs="宋体"/>
                <w:color w:val="auto"/>
                <w:szCs w:val="21"/>
                <w:highlight w:val="none"/>
                <w:lang w:eastAsia="zh-CN"/>
              </w:rPr>
              <w:t>团体人身保险</w:t>
            </w:r>
          </w:p>
        </w:tc>
        <w:tc>
          <w:tcPr>
            <w:tcW w:w="1024"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eastAsia="宋体" w:cs="宋体"/>
                <w:color w:val="auto"/>
                <w:szCs w:val="21"/>
                <w:highlight w:val="none"/>
              </w:rPr>
            </w:pPr>
            <w:r>
              <w:rPr>
                <w:rFonts w:hint="eastAsia" w:ascii="宋体" w:hAnsi="宋体" w:eastAsia="宋体" w:cs="宋体"/>
                <w:color w:val="auto"/>
                <w:szCs w:val="21"/>
                <w:highlight w:val="none"/>
              </w:rPr>
              <w:t>104</w:t>
            </w:r>
          </w:p>
        </w:tc>
        <w:tc>
          <w:tcPr>
            <w:tcW w:w="1459"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800</w:t>
            </w:r>
          </w:p>
        </w:tc>
        <w:tc>
          <w:tcPr>
            <w:tcW w:w="1899"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eastAsia="宋体" w:cs="宋体"/>
                <w:color w:val="auto"/>
                <w:szCs w:val="21"/>
                <w:highlight w:val="none"/>
              </w:rPr>
            </w:pPr>
            <w:r>
              <w:rPr>
                <w:rFonts w:hint="eastAsia" w:ascii="宋体" w:hAnsi="宋体" w:eastAsia="宋体" w:cs="宋体"/>
                <w:color w:val="auto"/>
                <w:szCs w:val="21"/>
                <w:highlight w:val="none"/>
              </w:rPr>
              <w:t>83200</w:t>
            </w:r>
          </w:p>
        </w:tc>
        <w:tc>
          <w:tcPr>
            <w:tcW w:w="876" w:type="dxa"/>
            <w:vMerge w:val="continue"/>
            <w:tcBorders>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shd w:val="clear" w:color="auto" w:fill="FFFFFF"/>
              </w:rPr>
            </w:pPr>
          </w:p>
        </w:tc>
        <w:tc>
          <w:tcPr>
            <w:tcW w:w="806" w:type="dxa"/>
            <w:vMerge w:val="continue"/>
            <w:tcBorders>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shd w:val="clear" w:color="auto" w:fill="FFFFFF"/>
              </w:rPr>
            </w:pPr>
          </w:p>
        </w:tc>
        <w:tc>
          <w:tcPr>
            <w:tcW w:w="811" w:type="dxa"/>
            <w:vMerge w:val="continue"/>
            <w:tcBorders>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shd w:val="clear" w:color="auto" w:fill="FFFFFF"/>
              </w:rPr>
            </w:pPr>
          </w:p>
        </w:tc>
      </w:tr>
    </w:tbl>
    <w:p>
      <w:pPr>
        <w:spacing w:line="440" w:lineRule="exact"/>
        <w:jc w:val="left"/>
        <w:rPr>
          <w:rFonts w:hint="eastAsia" w:ascii="宋体" w:hAnsi="宋体" w:eastAsia="宋体" w:cs="宋体"/>
          <w:bCs/>
          <w:color w:val="auto"/>
          <w:kern w:val="0"/>
          <w:szCs w:val="21"/>
          <w:highlight w:val="none"/>
          <w:lang w:bidi="ar"/>
        </w:rPr>
      </w:pPr>
      <w:r>
        <w:rPr>
          <w:rFonts w:hint="eastAsia" w:ascii="宋体" w:hAnsi="宋体" w:eastAsia="宋体" w:cs="宋体"/>
          <w:color w:val="auto"/>
          <w:sz w:val="24"/>
          <w:szCs w:val="28"/>
          <w:highlight w:val="none"/>
        </w:rPr>
        <w:t xml:space="preserve">    </w:t>
      </w:r>
      <w:r>
        <w:rPr>
          <w:rFonts w:hint="eastAsia" w:ascii="宋体" w:hAnsi="宋体" w:eastAsia="宋体" w:cs="宋体"/>
          <w:bCs/>
          <w:color w:val="auto"/>
          <w:kern w:val="0"/>
          <w:szCs w:val="21"/>
          <w:highlight w:val="none"/>
          <w:lang w:bidi="ar"/>
        </w:rPr>
        <w:t>注：（1）本次</w:t>
      </w:r>
      <w:r>
        <w:rPr>
          <w:rFonts w:hint="eastAsia" w:ascii="宋体" w:hAnsi="宋体" w:cs="宋体"/>
          <w:bCs/>
          <w:color w:val="auto"/>
          <w:kern w:val="0"/>
          <w:szCs w:val="21"/>
          <w:highlight w:val="none"/>
          <w:lang w:val="en-US" w:eastAsia="zh-CN" w:bidi="ar"/>
        </w:rPr>
        <w:t>采购</w:t>
      </w:r>
      <w:r>
        <w:rPr>
          <w:rFonts w:hint="eastAsia" w:ascii="宋体" w:hAnsi="宋体" w:eastAsia="宋体" w:cs="宋体"/>
          <w:bCs/>
          <w:color w:val="auto"/>
          <w:kern w:val="0"/>
          <w:szCs w:val="21"/>
          <w:highlight w:val="none"/>
          <w:lang w:bidi="ar"/>
        </w:rPr>
        <w:t>为整体</w:t>
      </w:r>
      <w:r>
        <w:rPr>
          <w:rFonts w:hint="eastAsia" w:ascii="宋体" w:hAnsi="宋体" w:cs="宋体"/>
          <w:bCs/>
          <w:color w:val="auto"/>
          <w:kern w:val="0"/>
          <w:szCs w:val="21"/>
          <w:highlight w:val="none"/>
          <w:lang w:val="en-US" w:eastAsia="zh-CN" w:bidi="ar"/>
        </w:rPr>
        <w:t>采购</w:t>
      </w:r>
      <w:r>
        <w:rPr>
          <w:rFonts w:hint="eastAsia" w:ascii="宋体" w:hAnsi="宋体" w:eastAsia="宋体" w:cs="宋体"/>
          <w:bCs/>
          <w:color w:val="auto"/>
          <w:kern w:val="0"/>
          <w:szCs w:val="21"/>
          <w:highlight w:val="none"/>
          <w:lang w:bidi="ar"/>
        </w:rPr>
        <w:t>，</w:t>
      </w:r>
      <w:r>
        <w:rPr>
          <w:rFonts w:hint="eastAsia" w:ascii="宋体" w:hAnsi="宋体" w:cs="宋体"/>
          <w:bCs/>
          <w:color w:val="auto"/>
          <w:kern w:val="0"/>
          <w:szCs w:val="21"/>
          <w:highlight w:val="none"/>
          <w:lang w:val="en-US" w:eastAsia="zh-CN" w:bidi="ar"/>
        </w:rPr>
        <w:t>供应商</w:t>
      </w:r>
      <w:r>
        <w:rPr>
          <w:rFonts w:hint="eastAsia" w:ascii="宋体" w:hAnsi="宋体" w:eastAsia="宋体" w:cs="宋体"/>
          <w:bCs/>
          <w:color w:val="auto"/>
          <w:kern w:val="0"/>
          <w:szCs w:val="21"/>
          <w:highlight w:val="none"/>
          <w:lang w:bidi="ar"/>
        </w:rPr>
        <w:t>必须对所</w:t>
      </w:r>
      <w:r>
        <w:rPr>
          <w:rFonts w:hint="eastAsia" w:ascii="宋体" w:hAnsi="宋体" w:cs="宋体"/>
          <w:bCs/>
          <w:color w:val="auto"/>
          <w:kern w:val="0"/>
          <w:szCs w:val="21"/>
          <w:highlight w:val="none"/>
          <w:lang w:val="en-US" w:eastAsia="zh-CN" w:bidi="ar"/>
        </w:rPr>
        <w:t>报价</w:t>
      </w:r>
      <w:r>
        <w:rPr>
          <w:rFonts w:hint="eastAsia" w:ascii="宋体" w:hAnsi="宋体" w:eastAsia="宋体" w:cs="宋体"/>
          <w:bCs/>
          <w:color w:val="auto"/>
          <w:kern w:val="0"/>
          <w:szCs w:val="21"/>
          <w:highlight w:val="none"/>
          <w:lang w:bidi="ar"/>
        </w:rPr>
        <w:t>的合同包的所有内容进行完整报价响应。不完整响应的将视为无效投标</w:t>
      </w:r>
      <w:r>
        <w:rPr>
          <w:rFonts w:hint="eastAsia" w:ascii="宋体" w:hAnsi="宋体" w:cs="宋体"/>
          <w:bCs/>
          <w:color w:val="auto"/>
          <w:kern w:val="0"/>
          <w:szCs w:val="21"/>
          <w:highlight w:val="none"/>
          <w:lang w:eastAsia="zh-CN" w:bidi="ar"/>
        </w:rPr>
        <w:t>（</w:t>
      </w:r>
      <w:r>
        <w:rPr>
          <w:rFonts w:hint="eastAsia" w:ascii="宋体" w:hAnsi="宋体" w:cs="宋体"/>
          <w:bCs/>
          <w:color w:val="auto"/>
          <w:kern w:val="0"/>
          <w:szCs w:val="21"/>
          <w:highlight w:val="none"/>
          <w:lang w:val="en-US" w:eastAsia="zh-CN" w:bidi="ar"/>
        </w:rPr>
        <w:t>响应）</w:t>
      </w:r>
      <w:r>
        <w:rPr>
          <w:rFonts w:hint="eastAsia" w:ascii="宋体" w:hAnsi="宋体" w:eastAsia="宋体" w:cs="宋体"/>
          <w:bCs/>
          <w:color w:val="auto"/>
          <w:kern w:val="0"/>
          <w:szCs w:val="21"/>
          <w:highlight w:val="none"/>
          <w:lang w:bidi="ar"/>
        </w:rPr>
        <w:t>。</w:t>
      </w:r>
      <w:r>
        <w:rPr>
          <w:rFonts w:hint="eastAsia" w:ascii="宋体" w:hAnsi="宋体" w:cs="宋体"/>
          <w:bCs/>
          <w:color w:val="auto"/>
          <w:kern w:val="0"/>
          <w:szCs w:val="21"/>
          <w:highlight w:val="none"/>
          <w:lang w:eastAsia="zh-CN" w:bidi="ar"/>
        </w:rPr>
        <w:t>供应商</w:t>
      </w:r>
      <w:r>
        <w:rPr>
          <w:rFonts w:hint="eastAsia" w:ascii="宋体" w:hAnsi="宋体" w:eastAsia="宋体" w:cs="宋体"/>
          <w:bCs/>
          <w:color w:val="auto"/>
          <w:kern w:val="0"/>
          <w:szCs w:val="21"/>
          <w:highlight w:val="none"/>
          <w:lang w:bidi="ar"/>
        </w:rPr>
        <w:t>应以包括该项目所涉及的有关所有费用进行报价，包括但不限于：项目各类尽职调查服务、人员工资（含交纳五险一金费用、奖金、绩效、出差费用、交通费、住宿费、电话费、安全文明费等）、验收、售后、保险、利润、招标代理服务费等完成该服务可能涉及的费用及政策性文件规定的各项应有费用，以及完成该项目可合理推断的责任和义务。漏报、少报的费用，视为此项费用已隐含在投标报价中，</w:t>
      </w:r>
      <w:r>
        <w:rPr>
          <w:rFonts w:hint="eastAsia" w:ascii="宋体" w:hAnsi="宋体" w:cs="宋体"/>
          <w:bCs/>
          <w:color w:val="auto"/>
          <w:kern w:val="0"/>
          <w:szCs w:val="21"/>
          <w:highlight w:val="none"/>
          <w:lang w:eastAsia="zh-CN" w:bidi="ar"/>
        </w:rPr>
        <w:t>成交</w:t>
      </w:r>
      <w:r>
        <w:rPr>
          <w:rFonts w:hint="eastAsia" w:ascii="宋体" w:hAnsi="宋体" w:eastAsia="宋体" w:cs="宋体"/>
          <w:bCs/>
          <w:color w:val="auto"/>
          <w:kern w:val="0"/>
          <w:szCs w:val="21"/>
          <w:highlight w:val="none"/>
          <w:lang w:bidi="ar"/>
        </w:rPr>
        <w:t>后不得再向采购人收取额外费用。</w:t>
      </w:r>
    </w:p>
    <w:p>
      <w:pPr>
        <w:pStyle w:val="17"/>
        <w:spacing w:line="500" w:lineRule="exact"/>
        <w:jc w:val="left"/>
        <w:rPr>
          <w:rFonts w:hint="eastAsia" w:ascii="宋体" w:hAnsi="宋体" w:eastAsia="宋体" w:cs="宋体"/>
          <w:b w:val="0"/>
          <w:bCs/>
          <w:color w:val="auto"/>
          <w:kern w:val="0"/>
          <w:sz w:val="21"/>
          <w:szCs w:val="21"/>
          <w:highlight w:val="none"/>
          <w:lang w:val="en-US" w:eastAsia="zh-CN" w:bidi="ar"/>
        </w:rPr>
      </w:pPr>
      <w:r>
        <w:rPr>
          <w:rFonts w:hint="eastAsia" w:ascii="宋体" w:hAnsi="宋体" w:eastAsia="宋体" w:cs="宋体"/>
          <w:b w:val="0"/>
          <w:bCs/>
          <w:color w:val="auto"/>
          <w:kern w:val="0"/>
          <w:sz w:val="21"/>
          <w:szCs w:val="21"/>
          <w:highlight w:val="none"/>
          <w:lang w:bidi="ar"/>
        </w:rPr>
        <w:t>（2）《采购标的一览表》中人员数量是预估值，供应商投标总报价仅作为评审依据，</w:t>
      </w:r>
      <w:r>
        <w:rPr>
          <w:rFonts w:hint="eastAsia" w:ascii="宋体" w:hAnsi="宋体" w:cs="宋体"/>
          <w:b w:val="0"/>
          <w:bCs/>
          <w:color w:val="auto"/>
          <w:kern w:val="0"/>
          <w:sz w:val="21"/>
          <w:szCs w:val="21"/>
          <w:highlight w:val="none"/>
          <w:lang w:eastAsia="zh-CN" w:bidi="ar"/>
        </w:rPr>
        <w:t>成交</w:t>
      </w:r>
      <w:r>
        <w:rPr>
          <w:rFonts w:hint="eastAsia" w:ascii="宋体" w:hAnsi="宋体" w:eastAsia="宋体" w:cs="宋体"/>
          <w:b w:val="0"/>
          <w:bCs/>
          <w:color w:val="auto"/>
          <w:kern w:val="0"/>
          <w:sz w:val="21"/>
          <w:szCs w:val="21"/>
          <w:highlight w:val="none"/>
          <w:lang w:bidi="ar"/>
        </w:rPr>
        <w:t>后以各品目实际人数和各品目</w:t>
      </w:r>
      <w:r>
        <w:rPr>
          <w:rFonts w:hint="eastAsia" w:ascii="宋体" w:hAnsi="宋体" w:cs="宋体"/>
          <w:b w:val="0"/>
          <w:bCs/>
          <w:color w:val="auto"/>
          <w:kern w:val="0"/>
          <w:sz w:val="21"/>
          <w:szCs w:val="21"/>
          <w:highlight w:val="none"/>
          <w:lang w:eastAsia="zh-CN" w:bidi="ar"/>
        </w:rPr>
        <w:t>成交</w:t>
      </w:r>
      <w:r>
        <w:rPr>
          <w:rFonts w:hint="eastAsia" w:ascii="宋体" w:hAnsi="宋体" w:eastAsia="宋体" w:cs="宋体"/>
          <w:b w:val="0"/>
          <w:bCs/>
          <w:color w:val="auto"/>
          <w:kern w:val="0"/>
          <w:sz w:val="21"/>
          <w:szCs w:val="21"/>
          <w:highlight w:val="none"/>
          <w:lang w:bidi="ar"/>
        </w:rPr>
        <w:t>单价为计费依据：</w:t>
      </w:r>
      <w:r>
        <w:rPr>
          <w:rFonts w:hint="eastAsia" w:ascii="宋体" w:hAnsi="宋体" w:eastAsia="宋体" w:cs="宋体"/>
          <w:b w:val="0"/>
          <w:color w:val="auto"/>
          <w:kern w:val="0"/>
          <w:sz w:val="21"/>
          <w:szCs w:val="21"/>
          <w:highlight w:val="none"/>
          <w:lang w:bidi="ar"/>
        </w:rPr>
        <w:t>实际保险费=品目1-1</w:t>
      </w:r>
      <w:r>
        <w:rPr>
          <w:rFonts w:hint="eastAsia" w:ascii="宋体" w:hAnsi="宋体" w:cs="宋体"/>
          <w:b w:val="0"/>
          <w:color w:val="auto"/>
          <w:kern w:val="0"/>
          <w:sz w:val="21"/>
          <w:szCs w:val="21"/>
          <w:highlight w:val="none"/>
          <w:lang w:eastAsia="zh-CN" w:bidi="ar"/>
        </w:rPr>
        <w:t>成交</w:t>
      </w:r>
      <w:r>
        <w:rPr>
          <w:rFonts w:hint="eastAsia" w:ascii="宋体" w:hAnsi="宋体" w:eastAsia="宋体" w:cs="宋体"/>
          <w:b w:val="0"/>
          <w:color w:val="auto"/>
          <w:kern w:val="0"/>
          <w:sz w:val="21"/>
          <w:szCs w:val="21"/>
          <w:highlight w:val="none"/>
          <w:lang w:bidi="ar"/>
        </w:rPr>
        <w:t>单价×品目1-1实际人数</w:t>
      </w:r>
      <w:r>
        <w:rPr>
          <w:rFonts w:hint="eastAsia" w:ascii="宋体" w:hAnsi="宋体" w:cs="宋体"/>
          <w:b w:val="0"/>
          <w:color w:val="auto"/>
          <w:kern w:val="0"/>
          <w:sz w:val="21"/>
          <w:szCs w:val="21"/>
          <w:highlight w:val="none"/>
          <w:lang w:val="en-US" w:eastAsia="zh-CN" w:bidi="ar"/>
        </w:rPr>
        <w:t xml:space="preserve"> </w:t>
      </w:r>
      <w:r>
        <w:rPr>
          <w:rFonts w:hint="eastAsia" w:ascii="宋体" w:hAnsi="宋体" w:eastAsia="宋体" w:cs="宋体"/>
          <w:b w:val="0"/>
          <w:color w:val="auto"/>
          <w:kern w:val="0"/>
          <w:sz w:val="21"/>
          <w:szCs w:val="21"/>
          <w:highlight w:val="none"/>
          <w:lang w:bidi="ar"/>
        </w:rPr>
        <w:t>+</w:t>
      </w:r>
      <w:r>
        <w:rPr>
          <w:rFonts w:hint="eastAsia" w:ascii="宋体" w:hAnsi="宋体" w:cs="宋体"/>
          <w:b w:val="0"/>
          <w:color w:val="auto"/>
          <w:kern w:val="0"/>
          <w:sz w:val="21"/>
          <w:szCs w:val="21"/>
          <w:highlight w:val="none"/>
          <w:lang w:val="en-US" w:eastAsia="zh-CN" w:bidi="ar"/>
        </w:rPr>
        <w:t xml:space="preserve"> </w:t>
      </w:r>
      <w:r>
        <w:rPr>
          <w:rFonts w:hint="eastAsia" w:ascii="宋体" w:hAnsi="宋体" w:eastAsia="宋体" w:cs="宋体"/>
          <w:b w:val="0"/>
          <w:color w:val="auto"/>
          <w:kern w:val="0"/>
          <w:sz w:val="21"/>
          <w:szCs w:val="21"/>
          <w:highlight w:val="none"/>
          <w:lang w:bidi="ar"/>
        </w:rPr>
        <w:t>品目1-2</w:t>
      </w:r>
      <w:r>
        <w:rPr>
          <w:rFonts w:hint="eastAsia" w:ascii="宋体" w:hAnsi="宋体" w:cs="宋体"/>
          <w:b w:val="0"/>
          <w:color w:val="auto"/>
          <w:kern w:val="0"/>
          <w:sz w:val="21"/>
          <w:szCs w:val="21"/>
          <w:highlight w:val="none"/>
          <w:lang w:eastAsia="zh-CN" w:bidi="ar"/>
        </w:rPr>
        <w:t>成交</w:t>
      </w:r>
      <w:r>
        <w:rPr>
          <w:rFonts w:hint="eastAsia" w:ascii="宋体" w:hAnsi="宋体" w:eastAsia="宋体" w:cs="宋体"/>
          <w:b w:val="0"/>
          <w:color w:val="auto"/>
          <w:kern w:val="0"/>
          <w:sz w:val="21"/>
          <w:szCs w:val="21"/>
          <w:highlight w:val="none"/>
          <w:lang w:bidi="ar"/>
        </w:rPr>
        <w:t>单价×品目1-2实际人数</w:t>
      </w:r>
      <w:r>
        <w:rPr>
          <w:rFonts w:hint="eastAsia" w:ascii="宋体" w:hAnsi="宋体" w:eastAsia="宋体" w:cs="宋体"/>
          <w:b w:val="0"/>
          <w:bCs/>
          <w:color w:val="auto"/>
          <w:kern w:val="0"/>
          <w:sz w:val="21"/>
          <w:szCs w:val="21"/>
          <w:highlight w:val="none"/>
          <w:lang w:bidi="ar"/>
        </w:rPr>
        <w:t>。供应商投标报价需按要求（元/人）提交各品目单价及采购包总价。</w:t>
      </w:r>
    </w:p>
    <w:p>
      <w:pPr>
        <w:pStyle w:val="17"/>
        <w:jc w:val="center"/>
        <w:rPr>
          <w:rFonts w:ascii="宋体" w:hAnsi="宋体"/>
          <w:color w:val="auto"/>
          <w:kern w:val="0"/>
          <w:sz w:val="24"/>
          <w:highlight w:val="none"/>
        </w:rPr>
      </w:pPr>
      <w:r>
        <w:rPr>
          <w:rFonts w:hint="eastAsia"/>
          <w:color w:val="auto"/>
          <w:kern w:val="0"/>
          <w:highlight w:val="none"/>
        </w:rPr>
        <w:br w:type="page"/>
      </w:r>
      <w:bookmarkStart w:id="8" w:name="_Toc3991772"/>
      <w:bookmarkStart w:id="9" w:name="_Toc3991130"/>
      <w:r>
        <w:rPr>
          <w:rStyle w:val="21"/>
          <w:rFonts w:hint="eastAsia" w:ascii="宋体" w:hAnsi="宋体" w:cs="宋体"/>
          <w:b/>
          <w:bCs/>
          <w:color w:val="auto"/>
          <w:sz w:val="44"/>
          <w:szCs w:val="44"/>
          <w:highlight w:val="none"/>
          <w:shd w:val="clear" w:color="auto" w:fill="FFFFFF"/>
        </w:rPr>
        <w:t>第二章  竞争性谈判须知</w:t>
      </w:r>
      <w:bookmarkEnd w:id="8"/>
      <w:bookmarkEnd w:id="9"/>
    </w:p>
    <w:p>
      <w:pPr>
        <w:pStyle w:val="3"/>
        <w:jc w:val="center"/>
        <w:rPr>
          <w:rStyle w:val="21"/>
          <w:rFonts w:hint="eastAsia" w:ascii="宋体" w:hAnsi="宋体" w:cs="宋体"/>
          <w:b/>
          <w:bCs/>
          <w:color w:val="auto"/>
          <w:sz w:val="32"/>
          <w:szCs w:val="32"/>
          <w:highlight w:val="none"/>
        </w:rPr>
      </w:pPr>
      <w:r>
        <w:rPr>
          <w:rStyle w:val="21"/>
          <w:rFonts w:hint="eastAsia" w:ascii="宋体" w:hAnsi="宋体" w:cs="宋体"/>
          <w:b/>
          <w:bCs/>
          <w:color w:val="auto"/>
          <w:sz w:val="32"/>
          <w:szCs w:val="32"/>
          <w:highlight w:val="none"/>
        </w:rPr>
        <w:t>第1节  竞争性谈判须知前附表</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竞争性谈判须知前附表是对竞争性谈判须知的补充和细化，二者如有矛盾，以前附表中的要求和规定为准。</w:t>
      </w:r>
    </w:p>
    <w:tbl>
      <w:tblPr>
        <w:tblStyle w:val="18"/>
        <w:tblW w:w="0" w:type="auto"/>
        <w:tblCellSpacing w:w="15" w:type="dxa"/>
        <w:tblInd w:w="194"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714"/>
        <w:gridCol w:w="935"/>
        <w:gridCol w:w="805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42"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top"/>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项号</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top"/>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条款号</w:t>
            </w: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top"/>
          </w:tcPr>
          <w:p>
            <w:pPr>
              <w:widowControl/>
              <w:spacing w:line="500" w:lineRule="exac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编列内容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576"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1</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3.2.1</w:t>
            </w: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供应商的资格要求</w:t>
            </w:r>
            <w:r>
              <w:rPr>
                <w:rFonts w:hint="eastAsia" w:ascii="宋体" w:hAnsi="宋体" w:cs="宋体"/>
                <w:color w:val="auto"/>
                <w:kern w:val="0"/>
                <w:szCs w:val="21"/>
                <w:highlight w:val="none"/>
              </w:rPr>
              <w:t>：见谈判文件第一章“采购公告/采购邀请书”</w:t>
            </w:r>
          </w:p>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资格证明文件资料要求：</w:t>
            </w:r>
          </w:p>
          <w:tbl>
            <w:tblPr>
              <w:tblStyle w:val="18"/>
              <w:tblW w:w="0" w:type="auto"/>
              <w:tblCellSpacing w:w="0" w:type="dxa"/>
              <w:tblInd w:w="1"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803"/>
              <w:gridCol w:w="596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tblHeader/>
                <w:tblCellSpacing w:w="0" w:type="dxa"/>
              </w:trPr>
              <w:tc>
                <w:tcPr>
                  <w:tcW w:w="1803"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明细</w:t>
                  </w:r>
                </w:p>
              </w:tc>
              <w:tc>
                <w:tcPr>
                  <w:tcW w:w="5966"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描述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525" w:hRule="atLeast"/>
                <w:tblCellSpacing w:w="0" w:type="dxa"/>
              </w:trPr>
              <w:tc>
                <w:tcPr>
                  <w:tcW w:w="1803"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a1谈判响应声明（投标函）</w:t>
                  </w:r>
                </w:p>
              </w:tc>
              <w:tc>
                <w:tcPr>
                  <w:tcW w:w="5966"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576" w:hRule="atLeast"/>
                <w:tblCellSpacing w:w="0" w:type="dxa"/>
              </w:trPr>
              <w:tc>
                <w:tcPr>
                  <w:tcW w:w="1803"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a2单位负责人授权书</w:t>
                  </w:r>
                </w:p>
              </w:tc>
              <w:tc>
                <w:tcPr>
                  <w:tcW w:w="5966"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供应商（自然人除外）：若供应商代表为单位负责人授权的委托代理人，应提供本授权书；若供应商代表为单位负责人，应在此项下提交其身份证正反面复印件，可不提供本授权书。4、供应商为自然人的，可不填写本授权书。5、纸质响应文件正本中的本授权书（若有）应为原件。电子响应文件中的本授权书（若有）应为原件的扫描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90" w:hRule="atLeast"/>
                <w:tblCellSpacing w:w="0" w:type="dxa"/>
              </w:trPr>
              <w:tc>
                <w:tcPr>
                  <w:tcW w:w="1803"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a3法人或者其他组织的营业执照等证明文件，自然人的身份证明</w:t>
                  </w:r>
                </w:p>
              </w:tc>
              <w:tc>
                <w:tcPr>
                  <w:tcW w:w="5966" w:type="dxa"/>
                  <w:tcBorders>
                    <w:top w:val="outset" w:color="auto" w:sz="6" w:space="0"/>
                    <w:left w:val="outset" w:color="auto" w:sz="6" w:space="0"/>
                    <w:bottom w:val="outset" w:color="auto" w:sz="6" w:space="0"/>
                    <w:right w:val="outset" w:color="auto" w:sz="6" w:space="0"/>
                  </w:tcBorders>
                  <w:noWrap w:val="0"/>
                  <w:vAlign w:val="center"/>
                </w:tcPr>
                <w:p>
                  <w:pPr>
                    <w:spacing w:line="5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bidi="ar"/>
                    </w:rPr>
                    <w:t>供应商</w:t>
                  </w:r>
                  <w:r>
                    <w:rPr>
                      <w:rFonts w:hint="eastAsia" w:ascii="宋体" w:hAnsi="宋体" w:cs="宋体"/>
                      <w:color w:val="auto"/>
                      <w:kern w:val="0"/>
                      <w:szCs w:val="21"/>
                      <w:highlight w:val="none"/>
                      <w:lang w:bidi="ar"/>
                    </w:rPr>
                    <w:t>是企业或个体工商户的，则提供工商部门注册的有效的营业执照复印件；</w:t>
                  </w:r>
                  <w:r>
                    <w:rPr>
                      <w:rFonts w:hint="eastAsia" w:ascii="宋体" w:hAnsi="宋体" w:cs="宋体"/>
                      <w:color w:val="auto"/>
                      <w:kern w:val="0"/>
                      <w:szCs w:val="21"/>
                      <w:highlight w:val="none"/>
                      <w:lang w:eastAsia="zh-CN" w:bidi="ar"/>
                    </w:rPr>
                    <w:t>供应商</w:t>
                  </w:r>
                  <w:r>
                    <w:rPr>
                      <w:rFonts w:hint="eastAsia" w:ascii="宋体" w:hAnsi="宋体" w:cs="宋体"/>
                      <w:color w:val="auto"/>
                      <w:kern w:val="0"/>
                      <w:szCs w:val="21"/>
                      <w:highlight w:val="none"/>
                      <w:lang w:bidi="ar"/>
                    </w:rPr>
                    <w:t>是事业单位的，则提供有效的“事业单位法人证书”复印件；</w:t>
                  </w:r>
                  <w:r>
                    <w:rPr>
                      <w:rFonts w:hint="eastAsia" w:ascii="宋体" w:hAnsi="宋体" w:cs="宋体"/>
                      <w:color w:val="auto"/>
                      <w:kern w:val="0"/>
                      <w:szCs w:val="21"/>
                      <w:highlight w:val="none"/>
                      <w:lang w:eastAsia="zh-CN" w:bidi="ar"/>
                    </w:rPr>
                    <w:t>供应商</w:t>
                  </w:r>
                  <w:r>
                    <w:rPr>
                      <w:rFonts w:hint="eastAsia" w:ascii="宋体" w:hAnsi="宋体" w:cs="宋体"/>
                      <w:color w:val="auto"/>
                      <w:kern w:val="0"/>
                      <w:szCs w:val="21"/>
                      <w:highlight w:val="none"/>
                      <w:lang w:bidi="ar"/>
                    </w:rPr>
                    <w:t>是非企业专业服务机构的，则提供执业许可等证明材料；</w:t>
                  </w:r>
                  <w:r>
                    <w:rPr>
                      <w:rFonts w:hint="eastAsia" w:ascii="宋体" w:hAnsi="宋体" w:cs="宋体"/>
                      <w:color w:val="auto"/>
                      <w:kern w:val="0"/>
                      <w:szCs w:val="21"/>
                      <w:highlight w:val="none"/>
                      <w:lang w:eastAsia="zh-CN" w:bidi="ar"/>
                    </w:rPr>
                    <w:t>供应商</w:t>
                  </w:r>
                  <w:r>
                    <w:rPr>
                      <w:rFonts w:hint="eastAsia" w:ascii="宋体" w:hAnsi="宋体" w:cs="宋体"/>
                      <w:color w:val="auto"/>
                      <w:kern w:val="0"/>
                      <w:szCs w:val="21"/>
                      <w:highlight w:val="none"/>
                      <w:lang w:bidi="ar"/>
                    </w:rPr>
                    <w:t>是自然人的，则提供自然人的身份证明复印件。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116" w:hRule="atLeast"/>
                <w:tblCellSpacing w:w="0" w:type="dxa"/>
              </w:trPr>
              <w:tc>
                <w:tcPr>
                  <w:tcW w:w="1803"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a4财务状况报告</w:t>
                  </w:r>
                </w:p>
              </w:tc>
              <w:tc>
                <w:tcPr>
                  <w:tcW w:w="5966" w:type="dxa"/>
                  <w:tcBorders>
                    <w:top w:val="outset" w:color="auto" w:sz="6" w:space="0"/>
                    <w:left w:val="outset" w:color="auto" w:sz="6" w:space="0"/>
                    <w:bottom w:val="outset" w:color="auto" w:sz="6" w:space="0"/>
                    <w:right w:val="outset" w:color="auto" w:sz="6" w:space="0"/>
                  </w:tcBorders>
                  <w:noWrap w:val="0"/>
                  <w:vAlign w:val="center"/>
                </w:tcPr>
                <w:p>
                  <w:pPr>
                    <w:spacing w:line="5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提供会计师事务所出具的上一年度或上一季度财务审计报告，至少包括“资产负债表、利润表、现金流量表”；或者提供开户许可证（基本开户银行开具的基本存款账户信息亦可）和投标截止时间前六个月内基本开户银行出具的资信证明；或者提供财政部门认可的政府采购专业担保机构出具的投标担保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75" w:hRule="atLeast"/>
                <w:tblCellSpacing w:w="0" w:type="dxa"/>
              </w:trPr>
              <w:tc>
                <w:tcPr>
                  <w:tcW w:w="1803"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a5依法缴纳税收的相关材料</w:t>
                  </w:r>
                </w:p>
              </w:tc>
              <w:tc>
                <w:tcPr>
                  <w:tcW w:w="5966" w:type="dxa"/>
                  <w:tcBorders>
                    <w:top w:val="outset" w:color="auto" w:sz="6" w:space="0"/>
                    <w:left w:val="outset" w:color="auto" w:sz="6" w:space="0"/>
                    <w:bottom w:val="outset" w:color="auto" w:sz="6" w:space="0"/>
                    <w:right w:val="outset" w:color="auto" w:sz="6" w:space="0"/>
                  </w:tcBorders>
                  <w:noWrap w:val="0"/>
                  <w:vAlign w:val="center"/>
                </w:tcPr>
                <w:p>
                  <w:pPr>
                    <w:spacing w:line="500" w:lineRule="exact"/>
                    <w:rPr>
                      <w:rFonts w:hint="eastAsia" w:ascii="宋体" w:hAnsi="宋体" w:cs="宋体"/>
                      <w:color w:val="auto"/>
                      <w:kern w:val="0"/>
                      <w:szCs w:val="21"/>
                      <w:highlight w:val="none"/>
                    </w:rPr>
                  </w:pPr>
                  <w:r>
                    <w:rPr>
                      <w:rFonts w:ascii="宋体" w:hAnsi="宋体"/>
                      <w:color w:val="auto"/>
                      <w:kern w:val="0"/>
                      <w:szCs w:val="21"/>
                      <w:highlight w:val="none"/>
                      <w:lang w:bidi="ar"/>
                    </w:rPr>
                    <w:t>提供投标截止时间前六个月任一个月的依法缴纳税收的凭据；或者提供依法免税的相应证明文件</w:t>
                  </w:r>
                  <w:r>
                    <w:rPr>
                      <w:rFonts w:hint="eastAsia" w:ascii="宋体" w:hAnsi="宋体"/>
                      <w:color w:val="auto"/>
                      <w:kern w:val="0"/>
                      <w:szCs w:val="21"/>
                      <w:highlight w:val="none"/>
                      <w:lang w:bidi="ar"/>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90" w:hRule="atLeast"/>
                <w:tblCellSpacing w:w="0" w:type="dxa"/>
              </w:trPr>
              <w:tc>
                <w:tcPr>
                  <w:tcW w:w="1803"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a6依法缴纳社会保障资金的相关材料</w:t>
                  </w:r>
                </w:p>
              </w:tc>
              <w:tc>
                <w:tcPr>
                  <w:tcW w:w="5966" w:type="dxa"/>
                  <w:tcBorders>
                    <w:top w:val="outset" w:color="auto" w:sz="6" w:space="0"/>
                    <w:left w:val="outset" w:color="auto" w:sz="6" w:space="0"/>
                    <w:bottom w:val="outset" w:color="auto" w:sz="6" w:space="0"/>
                    <w:right w:val="outset" w:color="auto" w:sz="6" w:space="0"/>
                  </w:tcBorders>
                  <w:noWrap w:val="0"/>
                  <w:vAlign w:val="center"/>
                </w:tcPr>
                <w:p>
                  <w:pPr>
                    <w:spacing w:line="500" w:lineRule="exact"/>
                    <w:rPr>
                      <w:rFonts w:hint="eastAsia" w:ascii="宋体" w:hAnsi="宋体" w:cs="宋体"/>
                      <w:color w:val="auto"/>
                      <w:kern w:val="0"/>
                      <w:szCs w:val="21"/>
                      <w:highlight w:val="none"/>
                    </w:rPr>
                  </w:pPr>
                  <w:r>
                    <w:rPr>
                      <w:rFonts w:ascii="宋体" w:hAnsi="宋体"/>
                      <w:color w:val="auto"/>
                      <w:kern w:val="0"/>
                      <w:szCs w:val="21"/>
                      <w:highlight w:val="none"/>
                      <w:lang w:bidi="ar"/>
                    </w:rPr>
                    <w:t>提供投标截止时间前六个月任一个月的依法缴纳社会保障资金的凭据；或者提供依法不需要缴纳社会保障资金的相应证明文件</w:t>
                  </w:r>
                  <w:r>
                    <w:rPr>
                      <w:rFonts w:hint="eastAsia" w:ascii="宋体" w:hAnsi="宋体"/>
                      <w:color w:val="auto"/>
                      <w:kern w:val="0"/>
                      <w:szCs w:val="21"/>
                      <w:highlight w:val="none"/>
                      <w:lang w:bidi="ar"/>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446" w:hRule="atLeast"/>
                <w:tblCellSpacing w:w="0" w:type="dxa"/>
              </w:trPr>
              <w:tc>
                <w:tcPr>
                  <w:tcW w:w="1803"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a7具备履行合同所必需的设备</w:t>
                  </w:r>
                  <w:r>
                    <w:rPr>
                      <w:rFonts w:hint="eastAsia" w:ascii="宋体" w:hAnsi="宋体" w:cs="宋体"/>
                      <w:color w:val="auto"/>
                      <w:kern w:val="0"/>
                      <w:szCs w:val="21"/>
                      <w:highlight w:val="none"/>
                      <w:lang w:eastAsia="zh-CN"/>
                    </w:rPr>
                    <w:t>（场所）</w:t>
                  </w:r>
                  <w:r>
                    <w:rPr>
                      <w:rFonts w:hint="eastAsia" w:ascii="宋体" w:hAnsi="宋体" w:cs="宋体"/>
                      <w:color w:val="auto"/>
                      <w:kern w:val="0"/>
                      <w:szCs w:val="21"/>
                      <w:highlight w:val="none"/>
                    </w:rPr>
                    <w:t>和专业技术能力的材料</w:t>
                  </w:r>
                </w:p>
              </w:tc>
              <w:tc>
                <w:tcPr>
                  <w:tcW w:w="5966" w:type="dxa"/>
                  <w:tcBorders>
                    <w:top w:val="outset" w:color="auto" w:sz="6" w:space="0"/>
                    <w:left w:val="outset" w:color="auto" w:sz="6" w:space="0"/>
                    <w:bottom w:val="outset" w:color="auto" w:sz="6" w:space="0"/>
                    <w:right w:val="outset" w:color="auto" w:sz="6" w:space="0"/>
                  </w:tcBorders>
                  <w:noWrap w:val="0"/>
                  <w:vAlign w:val="center"/>
                </w:tcPr>
                <w:p>
                  <w:pPr>
                    <w:spacing w:line="500" w:lineRule="exact"/>
                    <w:rPr>
                      <w:rFonts w:hint="eastAsia" w:ascii="宋体" w:hAnsi="宋体" w:cs="宋体"/>
                      <w:color w:val="auto"/>
                      <w:kern w:val="0"/>
                      <w:szCs w:val="21"/>
                      <w:highlight w:val="none"/>
                    </w:rPr>
                  </w:pPr>
                  <w:r>
                    <w:rPr>
                      <w:rFonts w:hint="eastAsia" w:ascii="Times New Roman" w:hAnsi="Times New Roman"/>
                      <w:color w:val="auto"/>
                      <w:sz w:val="21"/>
                      <w:szCs w:val="24"/>
                      <w:highlight w:val="none"/>
                    </w:rPr>
                    <w:t>①</w:t>
                  </w:r>
                  <w:r>
                    <w:rPr>
                      <w:rFonts w:hint="eastAsia" w:ascii="Times New Roman" w:hAnsi="Times New Roman"/>
                      <w:color w:val="auto"/>
                      <w:sz w:val="21"/>
                      <w:szCs w:val="24"/>
                      <w:highlight w:val="none"/>
                      <w:lang w:val="en-US" w:eastAsia="zh-CN"/>
                    </w:rPr>
                    <w:t>谈判</w:t>
                  </w:r>
                  <w:r>
                    <w:rPr>
                      <w:rFonts w:hint="eastAsia" w:ascii="Times New Roman" w:hAnsi="Times New Roman"/>
                      <w:color w:val="auto"/>
                      <w:sz w:val="21"/>
                      <w:szCs w:val="24"/>
                      <w:highlight w:val="none"/>
                    </w:rPr>
                    <w:t>文件未要求</w:t>
                  </w:r>
                  <w:r>
                    <w:rPr>
                      <w:rFonts w:hint="eastAsia" w:ascii="Times New Roman" w:hAnsi="Times New Roman"/>
                      <w:color w:val="auto"/>
                      <w:sz w:val="21"/>
                      <w:szCs w:val="24"/>
                      <w:highlight w:val="none"/>
                      <w:lang w:val="en-US" w:eastAsia="zh-CN"/>
                    </w:rPr>
                    <w:t>供应商</w:t>
                  </w:r>
                  <w:r>
                    <w:rPr>
                      <w:rFonts w:hint="eastAsia" w:ascii="Times New Roman" w:hAnsi="Times New Roman"/>
                      <w:color w:val="auto"/>
                      <w:sz w:val="21"/>
                      <w:szCs w:val="24"/>
                      <w:highlight w:val="none"/>
                    </w:rPr>
                    <w:t>提供“具备履行合同所必需的设备和专业技术能力专项证明材料”的，</w:t>
                  </w:r>
                  <w:r>
                    <w:rPr>
                      <w:rFonts w:hint="eastAsia" w:ascii="Times New Roman" w:hAnsi="Times New Roman"/>
                      <w:color w:val="auto"/>
                      <w:sz w:val="21"/>
                      <w:szCs w:val="24"/>
                      <w:highlight w:val="none"/>
                      <w:lang w:val="en-US" w:eastAsia="zh-CN"/>
                    </w:rPr>
                    <w:t>供应商</w:t>
                  </w:r>
                  <w:r>
                    <w:rPr>
                      <w:rFonts w:hint="eastAsia" w:ascii="Times New Roman" w:hAnsi="Times New Roman"/>
                      <w:color w:val="auto"/>
                      <w:sz w:val="21"/>
                      <w:szCs w:val="24"/>
                      <w:highlight w:val="none"/>
                    </w:rPr>
                    <w:t>应提供本声明函。 ②</w:t>
                  </w:r>
                  <w:r>
                    <w:rPr>
                      <w:rFonts w:hint="eastAsia" w:ascii="Times New Roman" w:hAnsi="Times New Roman"/>
                      <w:color w:val="auto"/>
                      <w:sz w:val="21"/>
                      <w:szCs w:val="24"/>
                      <w:highlight w:val="none"/>
                      <w:lang w:val="en-US" w:eastAsia="zh-CN"/>
                    </w:rPr>
                    <w:t>谈判</w:t>
                  </w:r>
                  <w:r>
                    <w:rPr>
                      <w:rFonts w:hint="eastAsia" w:ascii="Times New Roman" w:hAnsi="Times New Roman"/>
                      <w:color w:val="auto"/>
                      <w:sz w:val="21"/>
                      <w:szCs w:val="24"/>
                      <w:highlight w:val="none"/>
                    </w:rPr>
                    <w:t>文件要求</w:t>
                  </w:r>
                  <w:r>
                    <w:rPr>
                      <w:rFonts w:hint="eastAsia" w:ascii="Times New Roman" w:hAnsi="Times New Roman"/>
                      <w:color w:val="auto"/>
                      <w:sz w:val="21"/>
                      <w:szCs w:val="24"/>
                      <w:highlight w:val="none"/>
                      <w:lang w:val="en-US" w:eastAsia="zh-CN"/>
                    </w:rPr>
                    <w:t>供应商</w:t>
                  </w:r>
                  <w:r>
                    <w:rPr>
                      <w:rFonts w:hint="eastAsia" w:ascii="Times New Roman" w:hAnsi="Times New Roman"/>
                      <w:color w:val="auto"/>
                      <w:sz w:val="21"/>
                      <w:szCs w:val="24"/>
                      <w:highlight w:val="none"/>
                    </w:rPr>
                    <w:t>提供</w:t>
                  </w:r>
                  <w:r>
                    <w:rPr>
                      <w:rFonts w:hint="eastAsia" w:ascii="Times New Roman" w:hAnsi="Times New Roman"/>
                      <w:color w:val="auto"/>
                      <w:sz w:val="21"/>
                      <w:szCs w:val="24"/>
                      <w:highlight w:val="none"/>
                      <w:lang w:val="en-US" w:eastAsia="zh-CN"/>
                    </w:rPr>
                    <w:t>具体</w:t>
                  </w:r>
                  <w:r>
                    <w:rPr>
                      <w:rFonts w:hint="eastAsia" w:ascii="Times New Roman" w:hAnsi="Times New Roman"/>
                      <w:color w:val="auto"/>
                      <w:sz w:val="21"/>
                      <w:szCs w:val="24"/>
                      <w:highlight w:val="none"/>
                    </w:rPr>
                    <w:t>“具备履行合同所必需的设备和专业技术能力专项证明材料”的，</w:t>
                  </w:r>
                  <w:r>
                    <w:rPr>
                      <w:rFonts w:hint="eastAsia" w:ascii="Times New Roman" w:hAnsi="Times New Roman"/>
                      <w:color w:val="auto"/>
                      <w:sz w:val="21"/>
                      <w:szCs w:val="24"/>
                      <w:highlight w:val="none"/>
                      <w:lang w:val="en-US" w:eastAsia="zh-CN"/>
                    </w:rPr>
                    <w:t>供应商</w:t>
                  </w:r>
                  <w:r>
                    <w:rPr>
                      <w:rFonts w:hint="eastAsia" w:ascii="Times New Roman" w:hAnsi="Times New Roman"/>
                      <w:color w:val="auto"/>
                      <w:sz w:val="21"/>
                      <w:szCs w:val="24"/>
                      <w:highlight w:val="none"/>
                    </w:rPr>
                    <w:t>可不提供本声明函。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746" w:hRule="atLeast"/>
                <w:tblCellSpacing w:w="0" w:type="dxa"/>
              </w:trPr>
              <w:tc>
                <w:tcPr>
                  <w:tcW w:w="1803"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a8参加采购活动前3年内在经营活动中没有重大违法记录的书面声明</w:t>
                  </w:r>
                </w:p>
              </w:tc>
              <w:tc>
                <w:tcPr>
                  <w:tcW w:w="5966" w:type="dxa"/>
                  <w:tcBorders>
                    <w:top w:val="outset" w:color="auto" w:sz="6" w:space="0"/>
                    <w:left w:val="outset" w:color="auto" w:sz="6" w:space="0"/>
                    <w:bottom w:val="outset" w:color="auto" w:sz="6" w:space="0"/>
                    <w:right w:val="outset" w:color="auto" w:sz="6" w:space="0"/>
                  </w:tcBorders>
                  <w:noWrap w:val="0"/>
                  <w:vAlign w:val="center"/>
                </w:tcPr>
                <w:p>
                  <w:pPr>
                    <w:spacing w:line="5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bidi="ar"/>
                    </w:rPr>
                    <w:t>要求供应商参加采购活动前三年内在经营活动中没有重大违法记录：</w:t>
                  </w:r>
                  <w:r>
                    <w:rPr>
                      <w:rFonts w:hint="eastAsia" w:ascii="宋体" w:hAnsi="宋体" w:cs="宋体"/>
                      <w:color w:val="auto"/>
                      <w:kern w:val="0"/>
                      <w:szCs w:val="21"/>
                      <w:highlight w:val="none"/>
                      <w:lang w:bidi="ar"/>
                    </w:rPr>
                    <w:t>1、“重大违法记录”指报价供应商因违法经营受到刑事处罚或责令停产停业、吊销许可证或执照、较大数额罚款等行政处罚。2、无法提供有效期内检察机关行贿犯罪档案查询结果告知函的，也应对近三年无行贿犯罪记录进行声明。3、纸质响应文件正本中的本声明应为原件。※报价供应商应按照谈判文件第五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0" w:hRule="atLeast"/>
                <w:tblCellSpacing w:w="0" w:type="dxa"/>
              </w:trPr>
              <w:tc>
                <w:tcPr>
                  <w:tcW w:w="1803"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a9检察机关行贿犯罪档案查询结果告知函(若有)</w:t>
                  </w:r>
                </w:p>
              </w:tc>
              <w:tc>
                <w:tcPr>
                  <w:tcW w:w="5966" w:type="dxa"/>
                  <w:tcBorders>
                    <w:top w:val="outset" w:color="auto" w:sz="6" w:space="0"/>
                    <w:left w:val="outset" w:color="auto" w:sz="6" w:space="0"/>
                    <w:bottom w:val="outset" w:color="auto" w:sz="6" w:space="0"/>
                    <w:right w:val="outset" w:color="auto" w:sz="6" w:space="0"/>
                  </w:tcBorders>
                  <w:noWrap w:val="0"/>
                  <w:vAlign w:val="center"/>
                </w:tcPr>
                <w:p>
                  <w:pPr>
                    <w:spacing w:line="5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1、未提供行贿犯罪档案查询结果或查询结果表明报价供应商有行贿犯罪记录的，响应无效。2、无法提供有效期内检察机关行贿犯罪档案查询结果告知函的，也应对近三年无行贿犯罪记录进行声明。3、告知函应在有效期内且内容完整、清晰、整洁，否则响应无效。4、有效期内的告知函复印件（含扫描件）及符合竞争性谈判文件第五章规定的打印件（或截图），无论内容中是否注明“复印件无效”，均视同有效。5、无法获取有效期内检察机关行贿犯罪档案查询结果告知函的，应在a8《参加采购活动前三年内在经营活动中没有重大违法记录书面声明》中对近三年无行贿犯罪记录进行声明。※报价供应商应按照谈判文件第五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20" w:hRule="atLeast"/>
                <w:tblCellSpacing w:w="0" w:type="dxa"/>
              </w:trPr>
              <w:tc>
                <w:tcPr>
                  <w:tcW w:w="1803"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a10信用信息查询结果</w:t>
                  </w:r>
                </w:p>
              </w:tc>
              <w:tc>
                <w:tcPr>
                  <w:tcW w:w="5966" w:type="dxa"/>
                  <w:tcBorders>
                    <w:top w:val="outset" w:color="auto" w:sz="6" w:space="0"/>
                    <w:left w:val="outset" w:color="auto" w:sz="6" w:space="0"/>
                    <w:bottom w:val="outset" w:color="auto" w:sz="6" w:space="0"/>
                    <w:right w:val="outset" w:color="auto" w:sz="6" w:space="0"/>
                  </w:tcBorders>
                  <w:noWrap w:val="0"/>
                  <w:vAlign w:val="center"/>
                </w:tcPr>
                <w:p>
                  <w:pPr>
                    <w:spacing w:line="5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报价供应商应按照竞争性谈判文件第一章及第五章规定提供。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240" w:hRule="atLeast"/>
                <w:tblCellSpacing w:w="0" w:type="dxa"/>
              </w:trPr>
              <w:tc>
                <w:tcPr>
                  <w:tcW w:w="1803"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a11投标保证金</w:t>
                  </w:r>
                </w:p>
              </w:tc>
              <w:tc>
                <w:tcPr>
                  <w:tcW w:w="5966"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p>
              </w:tc>
            </w:tr>
          </w:tbl>
          <w:p>
            <w:pPr>
              <w:numPr>
                <w:ilvl w:val="0"/>
                <w:numId w:val="2"/>
              </w:numPr>
              <w:spacing w:line="500" w:lineRule="exact"/>
              <w:rPr>
                <w:rFonts w:hint="eastAsia" w:ascii="宋体" w:hAnsi="宋体"/>
                <w:color w:val="auto"/>
                <w:szCs w:val="21"/>
                <w:highlight w:val="none"/>
              </w:rPr>
            </w:pPr>
            <w:r>
              <w:rPr>
                <w:rFonts w:hint="eastAsia" w:ascii="宋体" w:hAnsi="宋体"/>
                <w:color w:val="auto"/>
                <w:szCs w:val="21"/>
                <w:highlight w:val="none"/>
              </w:rPr>
              <w:t>特定条件：</w:t>
            </w:r>
          </w:p>
          <w:p>
            <w:pPr>
              <w:widowControl/>
              <w:spacing w:line="380" w:lineRule="exact"/>
              <w:ind w:firstLine="480"/>
              <w:jc w:val="left"/>
              <w:rPr>
                <w:rFonts w:ascii="宋体" w:hAnsi="宋体" w:cs="宋体"/>
                <w:color w:val="auto"/>
                <w:kern w:val="0"/>
                <w:szCs w:val="21"/>
                <w:highlight w:val="none"/>
              </w:rPr>
            </w:pPr>
            <w:r>
              <w:rPr>
                <w:rFonts w:hint="eastAsia" w:ascii="宋体" w:hAnsi="宋体"/>
                <w:color w:val="auto"/>
                <w:szCs w:val="21"/>
                <w:highlight w:val="none"/>
              </w:rPr>
              <w:t xml:space="preserve"> </w:t>
            </w:r>
            <w:r>
              <w:rPr>
                <w:rFonts w:ascii="宋体" w:hAnsi="宋体" w:cs="宋体"/>
                <w:b/>
                <w:bCs/>
                <w:color w:val="auto"/>
                <w:kern w:val="0"/>
                <w:szCs w:val="21"/>
                <w:highlight w:val="none"/>
              </w:rPr>
              <w:t>包：1</w:t>
            </w:r>
          </w:p>
          <w:tbl>
            <w:tblPr>
              <w:tblStyle w:val="18"/>
              <w:tblW w:w="0" w:type="auto"/>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6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tblHeader/>
              </w:trPr>
              <w:tc>
                <w:tcPr>
                  <w:tcW w:w="557" w:type="dxa"/>
                  <w:noWrap w:val="0"/>
                  <w:vAlign w:val="center"/>
                </w:tcPr>
                <w:p>
                  <w:pPr>
                    <w:widowControl/>
                    <w:spacing w:line="380" w:lineRule="exact"/>
                    <w:jc w:val="center"/>
                    <w:rPr>
                      <w:rFonts w:ascii="宋体" w:hAnsi="宋体" w:cs="宋体"/>
                      <w:b/>
                      <w:bCs/>
                      <w:color w:val="auto"/>
                      <w:kern w:val="0"/>
                      <w:sz w:val="21"/>
                      <w:szCs w:val="21"/>
                      <w:highlight w:val="none"/>
                    </w:rPr>
                  </w:pPr>
                  <w:r>
                    <w:rPr>
                      <w:rFonts w:ascii="宋体" w:hAnsi="宋体" w:cs="宋体"/>
                      <w:b/>
                      <w:bCs/>
                      <w:color w:val="auto"/>
                      <w:kern w:val="0"/>
                      <w:sz w:val="21"/>
                      <w:szCs w:val="21"/>
                      <w:highlight w:val="none"/>
                    </w:rPr>
                    <w:t>明细</w:t>
                  </w:r>
                </w:p>
              </w:tc>
              <w:tc>
                <w:tcPr>
                  <w:tcW w:w="6823" w:type="dxa"/>
                  <w:noWrap w:val="0"/>
                  <w:vAlign w:val="center"/>
                </w:tcPr>
                <w:p>
                  <w:pPr>
                    <w:widowControl/>
                    <w:spacing w:line="380" w:lineRule="exact"/>
                    <w:jc w:val="center"/>
                    <w:rPr>
                      <w:rFonts w:ascii="宋体" w:hAnsi="宋体" w:cs="宋体"/>
                      <w:b/>
                      <w:bCs/>
                      <w:color w:val="auto"/>
                      <w:kern w:val="0"/>
                      <w:sz w:val="21"/>
                      <w:szCs w:val="21"/>
                      <w:highlight w:val="none"/>
                    </w:rPr>
                  </w:pPr>
                  <w:r>
                    <w:rPr>
                      <w:rFonts w:ascii="宋体" w:hAnsi="宋体" w:cs="宋体"/>
                      <w:b/>
                      <w:bCs/>
                      <w:color w:val="auto"/>
                      <w:kern w:val="0"/>
                      <w:sz w:val="21"/>
                      <w:szCs w:val="21"/>
                      <w:highlight w:val="none"/>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7" w:hRule="atLeast"/>
              </w:trPr>
              <w:tc>
                <w:tcPr>
                  <w:tcW w:w="557" w:type="dxa"/>
                  <w:noWrap w:val="0"/>
                  <w:vAlign w:val="top"/>
                </w:tcPr>
                <w:p>
                  <w:pPr>
                    <w:widowControl/>
                    <w:spacing w:line="380" w:lineRule="exact"/>
                    <w:jc w:val="center"/>
                    <w:rPr>
                      <w:rFonts w:ascii="宋体" w:hAnsi="宋体" w:cs="宋体"/>
                      <w:color w:val="auto"/>
                      <w:kern w:val="0"/>
                      <w:szCs w:val="21"/>
                      <w:highlight w:val="none"/>
                      <w:lang w:bidi="ar"/>
                    </w:rPr>
                  </w:pPr>
                </w:p>
                <w:p>
                  <w:pPr>
                    <w:widowControl/>
                    <w:spacing w:line="380" w:lineRule="exact"/>
                    <w:jc w:val="center"/>
                    <w:rPr>
                      <w:rFonts w:ascii="宋体" w:hAnsi="宋体" w:cs="宋体"/>
                      <w:color w:val="auto"/>
                      <w:kern w:val="0"/>
                      <w:szCs w:val="21"/>
                      <w:highlight w:val="none"/>
                      <w:lang w:bidi="ar"/>
                    </w:rPr>
                  </w:pPr>
                </w:p>
                <w:p>
                  <w:pPr>
                    <w:widowControl/>
                    <w:spacing w:line="380" w:lineRule="exact"/>
                    <w:jc w:val="center"/>
                    <w:rPr>
                      <w:rFonts w:ascii="宋体" w:hAnsi="宋体" w:cs="宋体"/>
                      <w:color w:val="auto"/>
                      <w:kern w:val="0"/>
                      <w:sz w:val="21"/>
                      <w:szCs w:val="21"/>
                      <w:highlight w:val="none"/>
                    </w:rPr>
                  </w:pPr>
                  <w:r>
                    <w:rPr>
                      <w:rFonts w:ascii="宋体" w:hAnsi="宋体" w:cs="宋体"/>
                      <w:color w:val="auto"/>
                      <w:kern w:val="0"/>
                      <w:szCs w:val="21"/>
                      <w:highlight w:val="none"/>
                      <w:lang w:bidi="ar"/>
                    </w:rPr>
                    <w:t>保险业务经营资格</w:t>
                  </w:r>
                </w:p>
              </w:tc>
              <w:tc>
                <w:tcPr>
                  <w:tcW w:w="6823" w:type="dxa"/>
                  <w:noWrap w:val="0"/>
                  <w:vAlign w:val="top"/>
                </w:tcPr>
                <w:p>
                  <w:pPr>
                    <w:widowControl/>
                    <w:spacing w:line="500" w:lineRule="exact"/>
                    <w:ind w:firstLine="420" w:firstLineChars="200"/>
                    <w:jc w:val="left"/>
                    <w:rPr>
                      <w:rFonts w:ascii="宋体" w:hAnsi="宋体"/>
                      <w:color w:val="auto"/>
                      <w:kern w:val="0"/>
                      <w:sz w:val="21"/>
                      <w:szCs w:val="21"/>
                      <w:highlight w:val="none"/>
                      <w:lang w:bidi="ar"/>
                    </w:rPr>
                  </w:pPr>
                  <w:r>
                    <w:rPr>
                      <w:rFonts w:hint="eastAsia" w:ascii="宋体" w:hAnsi="宋体" w:cs="宋体"/>
                      <w:color w:val="auto"/>
                      <w:szCs w:val="21"/>
                      <w:highlight w:val="none"/>
                    </w:rPr>
                    <w:t>供应商必须是在中华人民共和国境内注册的、由中国银行保险监督管理委员会批准的、具备开展本项目保险业务资质的保险公司或其分支机构</w:t>
                  </w:r>
                  <w:r>
                    <w:rPr>
                      <w:rFonts w:ascii="宋体" w:hAnsi="宋体" w:cs="宋体"/>
                      <w:color w:val="auto"/>
                      <w:kern w:val="0"/>
                      <w:szCs w:val="21"/>
                      <w:highlight w:val="none"/>
                      <w:lang w:bidi="ar"/>
                    </w:rPr>
                    <w:t>。</w:t>
                  </w:r>
                  <w:r>
                    <w:rPr>
                      <w:rFonts w:hint="eastAsia" w:ascii="宋体" w:hAnsi="宋体" w:cs="宋体"/>
                      <w:color w:val="auto"/>
                      <w:szCs w:val="21"/>
                      <w:highlight w:val="none"/>
                    </w:rPr>
                    <w:t>供应商需提供《保险公司法人许可证》或《保险许可证》复印件；若以分支机构进行投标的，则需提供总公司对该分支机构经营业务相应的授权书，以及该分支机构的《经营保险业务许可证》或《保险许可证》复印件。 注：总公司或其下属各分支机构，不能同时参加本项目投标。</w:t>
                  </w:r>
                  <w:r>
                    <w:rPr>
                      <w:rFonts w:hint="eastAsia" w:ascii="宋体" w:hAnsi="宋体" w:cs="宋体"/>
                      <w:color w:val="auto"/>
                      <w:szCs w:val="21"/>
                      <w:highlight w:val="none"/>
                      <w:lang w:val="en-US" w:eastAsia="zh-CN"/>
                    </w:rPr>
                    <w:t>不满足该</w:t>
                  </w:r>
                  <w:r>
                    <w:rPr>
                      <w:rFonts w:hint="eastAsia" w:ascii="宋体" w:hAnsi="宋体" w:cs="宋体"/>
                      <w:color w:val="auto"/>
                      <w:kern w:val="0"/>
                      <w:sz w:val="21"/>
                      <w:szCs w:val="21"/>
                      <w:highlight w:val="none"/>
                      <w:shd w:val="clear" w:color="auto" w:fill="FFFFFF"/>
                    </w:rPr>
                    <w:t>特定条件</w:t>
                  </w:r>
                  <w:r>
                    <w:rPr>
                      <w:rFonts w:hint="eastAsia" w:ascii="宋体" w:hAnsi="宋体" w:cs="宋体"/>
                      <w:color w:val="auto"/>
                      <w:kern w:val="0"/>
                      <w:sz w:val="21"/>
                      <w:szCs w:val="21"/>
                      <w:highlight w:val="none"/>
                      <w:shd w:val="clear" w:color="auto" w:fill="FFFFFF"/>
                      <w:lang w:eastAsia="zh-CN"/>
                    </w:rPr>
                    <w:t>，</w:t>
                  </w:r>
                  <w:r>
                    <w:rPr>
                      <w:rFonts w:hint="eastAsia" w:ascii="宋体" w:hAnsi="宋体" w:cs="宋体"/>
                      <w:color w:val="auto"/>
                      <w:kern w:val="0"/>
                      <w:sz w:val="21"/>
                      <w:szCs w:val="21"/>
                      <w:highlight w:val="none"/>
                      <w:shd w:val="clear" w:color="auto" w:fill="FFFFFF"/>
                      <w:lang w:val="en-US" w:eastAsia="zh-CN"/>
                    </w:rPr>
                    <w:t>按无效投标（响应）处理。</w:t>
                  </w:r>
                </w:p>
              </w:tc>
            </w:tr>
          </w:tbl>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※谈判文件第五章对法定资格条件证明资料已有详细规定和要求，供应商按照第五章要求提供，并按要求对文件进行签署、盖章等，否则按报价无效处理。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3.2.2</w:t>
            </w: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是否接受联合体形式的响应谈判：</w:t>
            </w:r>
            <w:r>
              <w:rPr>
                <w:rFonts w:hint="eastAsia" w:ascii="宋体" w:hAnsi="宋体" w:cs="宋体"/>
                <w:color w:val="auto"/>
                <w:kern w:val="0"/>
                <w:szCs w:val="21"/>
                <w:highlight w:val="none"/>
              </w:rPr>
              <w:t>不接受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06"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3</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9.1</w:t>
            </w: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响应文件有效期：</w:t>
            </w:r>
            <w:r>
              <w:rPr>
                <w:rFonts w:hint="eastAsia" w:ascii="宋体" w:hAnsi="宋体" w:cs="宋体"/>
                <w:color w:val="auto"/>
                <w:kern w:val="0"/>
                <w:szCs w:val="21"/>
                <w:highlight w:val="none"/>
              </w:rPr>
              <w:t>首次响应文件提交截止时间起90个日历日。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88"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4</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10.1</w:t>
            </w: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top"/>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提交谈判保证金：</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本项目的谈判保证金详见《采购标的一览表》，保证金须以</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名义，通过支票、汇票、本票或者金融机构、担保机构出具的保函、转账等形式提交，保证金到账（保函提交）截止时间与投标（响应）截止时间一致</w:t>
            </w:r>
            <w:r>
              <w:rPr>
                <w:rFonts w:hint="eastAsia" w:ascii="宋体" w:hAnsi="宋体" w:cs="宋体"/>
                <w:color w:val="auto"/>
                <w:kern w:val="0"/>
                <w:szCs w:val="21"/>
                <w:highlight w:val="none"/>
                <w:lang w:eastAsia="zh-CN"/>
              </w:rPr>
              <w:t>；采用转账方式的，</w:t>
            </w:r>
            <w:r>
              <w:rPr>
                <w:rFonts w:hint="eastAsia" w:ascii="宋体" w:hAnsi="宋体" w:cs="宋体"/>
                <w:color w:val="auto"/>
                <w:kern w:val="0"/>
                <w:szCs w:val="21"/>
                <w:highlight w:val="none"/>
              </w:rPr>
              <w:t>以是否到达以</w:t>
            </w:r>
            <w:r>
              <w:rPr>
                <w:rFonts w:hint="eastAsia" w:ascii="宋体" w:hAnsi="宋体" w:cs="宋体"/>
                <w:color w:val="auto"/>
                <w:kern w:val="0"/>
                <w:szCs w:val="21"/>
                <w:highlight w:val="none"/>
                <w:lang w:eastAsia="zh-CN"/>
              </w:rPr>
              <w:t>指定</w:t>
            </w:r>
            <w:r>
              <w:rPr>
                <w:rFonts w:hint="eastAsia" w:ascii="宋体" w:hAnsi="宋体" w:cs="宋体"/>
                <w:color w:val="auto"/>
                <w:kern w:val="0"/>
                <w:szCs w:val="21"/>
                <w:highlight w:val="none"/>
              </w:rPr>
              <w:t>银行</w:t>
            </w:r>
            <w:r>
              <w:rPr>
                <w:rFonts w:hint="eastAsia" w:ascii="宋体" w:hAnsi="宋体" w:cs="宋体"/>
                <w:color w:val="auto"/>
                <w:kern w:val="0"/>
                <w:szCs w:val="21"/>
                <w:highlight w:val="none"/>
                <w:lang w:eastAsia="zh-CN"/>
              </w:rPr>
              <w:t>账户</w:t>
            </w:r>
            <w:r>
              <w:rPr>
                <w:rFonts w:hint="eastAsia" w:ascii="宋体" w:hAnsi="宋体" w:cs="宋体"/>
                <w:color w:val="auto"/>
                <w:kern w:val="0"/>
                <w:szCs w:val="21"/>
                <w:highlight w:val="none"/>
              </w:rPr>
              <w:t>的到账时间为准</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其他约定：无。</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5</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10.3.1</w:t>
            </w: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谈判保证金退还的其它要求：</w:t>
            </w:r>
            <w:r>
              <w:rPr>
                <w:rFonts w:hint="eastAsia" w:ascii="宋体" w:hAnsi="宋体" w:cs="宋体"/>
                <w:color w:val="auto"/>
                <w:kern w:val="0"/>
                <w:szCs w:val="21"/>
                <w:highlight w:val="none"/>
              </w:rPr>
              <w:t>无。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995"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6</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11.1</w:t>
            </w: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响应文件的份数</w:t>
            </w:r>
          </w:p>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（1）纸质响应文件 </w:t>
            </w:r>
          </w:p>
          <w:p>
            <w:pPr>
              <w:widowControl/>
              <w:spacing w:line="500" w:lineRule="exact"/>
              <w:ind w:firstLine="105" w:firstLineChars="5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①响应文件正本1份、副本3份。</w:t>
            </w:r>
          </w:p>
          <w:p>
            <w:pPr>
              <w:widowControl/>
              <w:spacing w:line="500" w:lineRule="exact"/>
              <w:ind w:firstLine="105" w:firstLineChars="5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②可读介质（</w:t>
            </w:r>
            <w:r>
              <w:rPr>
                <w:rFonts w:hint="eastAsia" w:ascii="宋体" w:hAnsi="宋体"/>
                <w:color w:val="auto"/>
                <w:szCs w:val="21"/>
                <w:highlight w:val="none"/>
              </w:rPr>
              <w:t>（光盘或U盘，无病毒，递交后概不退还）</w:t>
            </w:r>
            <w:r>
              <w:rPr>
                <w:rFonts w:hint="eastAsia" w:ascii="宋体" w:hAnsi="宋体" w:cs="宋体"/>
                <w:color w:val="auto"/>
                <w:kern w:val="0"/>
                <w:szCs w:val="21"/>
                <w:highlight w:val="none"/>
              </w:rPr>
              <w:t>）</w:t>
            </w:r>
            <w:r>
              <w:rPr>
                <w:rFonts w:hint="eastAsia" w:ascii="宋体" w:hAnsi="宋体" w:cs="宋体"/>
                <w:color w:val="auto"/>
                <w:kern w:val="0"/>
                <w:szCs w:val="21"/>
                <w:highlight w:val="none"/>
                <w:u w:val="single"/>
              </w:rPr>
              <w:t>1</w:t>
            </w:r>
            <w:r>
              <w:rPr>
                <w:rFonts w:hint="eastAsia" w:ascii="宋体" w:hAnsi="宋体" w:cs="宋体"/>
                <w:color w:val="auto"/>
                <w:kern w:val="0"/>
                <w:szCs w:val="21"/>
                <w:highlight w:val="none"/>
              </w:rPr>
              <w:t>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50"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pacing w:line="500" w:lineRule="exact"/>
              <w:ind w:firstLine="210" w:firstLineChars="100"/>
              <w:rPr>
                <w:rFonts w:hint="eastAsia" w:ascii="宋体" w:hAnsi="宋体" w:cs="宋体"/>
                <w:color w:val="auto"/>
                <w:kern w:val="0"/>
                <w:szCs w:val="21"/>
                <w:highlight w:val="none"/>
              </w:rPr>
            </w:pPr>
            <w:r>
              <w:rPr>
                <w:rFonts w:hint="eastAsia" w:ascii="宋体" w:hAnsi="宋体"/>
                <w:color w:val="auto"/>
                <w:szCs w:val="21"/>
                <w:highlight w:val="none"/>
              </w:rPr>
              <w:t>7</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pacing w:line="500" w:lineRule="exact"/>
              <w:rPr>
                <w:rFonts w:hint="eastAsia" w:ascii="宋体" w:hAnsi="宋体" w:cs="宋体"/>
                <w:color w:val="auto"/>
                <w:kern w:val="0"/>
                <w:szCs w:val="21"/>
                <w:highlight w:val="none"/>
              </w:rPr>
            </w:pP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pacing w:line="500" w:lineRule="exact"/>
              <w:rPr>
                <w:rFonts w:hint="eastAsia" w:ascii="宋体" w:hAnsi="宋体" w:cs="宋体"/>
                <w:color w:val="auto"/>
                <w:kern w:val="0"/>
                <w:szCs w:val="21"/>
                <w:highlight w:val="none"/>
              </w:rPr>
            </w:pPr>
            <w:r>
              <w:rPr>
                <w:rStyle w:val="21"/>
                <w:rFonts w:hint="eastAsia" w:ascii="宋体" w:hAnsi="宋体" w:cs="宋体"/>
                <w:color w:val="auto"/>
                <w:szCs w:val="21"/>
                <w:highlight w:val="none"/>
              </w:rPr>
              <w:t>是否允许成交人进行分包：</w:t>
            </w:r>
            <w:r>
              <w:rPr>
                <w:rFonts w:hint="eastAsia" w:ascii="宋体" w:hAnsi="宋体"/>
                <w:color w:val="auto"/>
                <w:szCs w:val="21"/>
                <w:highlight w:val="none"/>
              </w:rPr>
              <w:t>不允许</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09"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pacing w:line="500" w:lineRule="exact"/>
              <w:rPr>
                <w:rFonts w:hint="eastAsia" w:ascii="宋体" w:hAnsi="宋体" w:cs="宋体"/>
                <w:color w:val="auto"/>
                <w:kern w:val="0"/>
                <w:szCs w:val="21"/>
                <w:highlight w:val="none"/>
              </w:rPr>
            </w:pPr>
            <w:r>
              <w:rPr>
                <w:rFonts w:hint="eastAsia" w:ascii="宋体" w:hAnsi="宋体"/>
                <w:color w:val="auto"/>
                <w:szCs w:val="21"/>
                <w:highlight w:val="none"/>
              </w:rPr>
              <w:t> 8</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pacing w:line="500" w:lineRule="exact"/>
              <w:rPr>
                <w:rFonts w:hint="eastAsia" w:ascii="宋体" w:hAnsi="宋体" w:cs="宋体"/>
                <w:color w:val="auto"/>
                <w:kern w:val="0"/>
                <w:szCs w:val="21"/>
                <w:highlight w:val="none"/>
              </w:rPr>
            </w:pP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pacing w:line="500" w:lineRule="exact"/>
              <w:rPr>
                <w:rFonts w:hint="eastAsia" w:ascii="宋体" w:hAnsi="宋体" w:cs="宋体"/>
                <w:color w:val="auto"/>
                <w:kern w:val="0"/>
                <w:szCs w:val="21"/>
                <w:highlight w:val="none"/>
              </w:rPr>
            </w:pPr>
            <w:r>
              <w:rPr>
                <w:rFonts w:hint="eastAsia" w:ascii="宋体" w:hAnsi="宋体"/>
                <w:color w:val="auto"/>
                <w:szCs w:val="21"/>
                <w:highlight w:val="none"/>
              </w:rPr>
              <w:t>本项目确定</w:t>
            </w:r>
            <w:r>
              <w:rPr>
                <w:rFonts w:hint="eastAsia" w:ascii="宋体" w:hAnsi="宋体"/>
                <w:color w:val="auto"/>
                <w:szCs w:val="21"/>
                <w:highlight w:val="none"/>
                <w:lang w:eastAsia="zh-CN"/>
              </w:rPr>
              <w:t>采购包</w:t>
            </w:r>
            <w:r>
              <w:rPr>
                <w:rFonts w:hint="eastAsia" w:ascii="宋体" w:hAnsi="宋体"/>
                <w:color w:val="auto"/>
                <w:szCs w:val="21"/>
                <w:highlight w:val="none"/>
              </w:rPr>
              <w:t>1成交人数为1家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55"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9</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14.4</w:t>
            </w: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top"/>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谈判过程中可能发生实质性变动的内容：</w:t>
            </w:r>
          </w:p>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无。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970"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22.2</w:t>
            </w: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top"/>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信息公告指定媒体（以下简称：“指定媒体”）：</w:t>
            </w:r>
          </w:p>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（1）中国政府采购网，网址www.ccgp.gov.cn。</w:t>
            </w:r>
          </w:p>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（2）宁德市有信产权交易服务有限公司网站，网址www.ndcqjy.com。</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※上述指定媒体的有关信息若不一致，应以中国政府采购网发布的为准。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11</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23.1</w:t>
            </w: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本项目监督管理部门：</w:t>
            </w:r>
            <w:r>
              <w:rPr>
                <w:rFonts w:hint="eastAsia" w:ascii="宋体" w:hAnsi="宋体" w:cs="宋体"/>
                <w:color w:val="auto"/>
                <w:kern w:val="0"/>
                <w:szCs w:val="21"/>
                <w:highlight w:val="none"/>
              </w:rPr>
              <w:t>采购单位监督部门。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pacing w:line="500" w:lineRule="exact"/>
              <w:jc w:val="center"/>
              <w:rPr>
                <w:rFonts w:ascii="宋体" w:hAnsi="宋体" w:cs="宋体"/>
                <w:color w:val="auto"/>
                <w:kern w:val="0"/>
                <w:szCs w:val="21"/>
                <w:highlight w:val="none"/>
              </w:rPr>
            </w:pPr>
            <w:r>
              <w:rPr>
                <w:rFonts w:hint="eastAsia" w:ascii="宋体" w:hAnsi="宋体"/>
                <w:color w:val="auto"/>
                <w:szCs w:val="21"/>
                <w:highlight w:val="none"/>
              </w:rPr>
              <w:t>12</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pacing w:line="500" w:lineRule="exact"/>
              <w:rPr>
                <w:rFonts w:hint="eastAsia" w:ascii="宋体" w:hAnsi="宋体" w:cs="宋体"/>
                <w:color w:val="auto"/>
                <w:kern w:val="0"/>
                <w:szCs w:val="21"/>
                <w:highlight w:val="none"/>
              </w:rPr>
            </w:pP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最高限价：</w:t>
            </w:r>
          </w:p>
          <w:p>
            <w:pPr>
              <w:spacing w:line="500" w:lineRule="exact"/>
              <w:ind w:firstLine="420" w:firstLineChars="200"/>
              <w:rPr>
                <w:rFonts w:hint="eastAsia" w:ascii="宋体" w:hAnsi="宋体" w:cs="宋体"/>
                <w:b/>
                <w:bCs/>
                <w:color w:val="auto"/>
                <w:kern w:val="0"/>
                <w:szCs w:val="21"/>
                <w:highlight w:val="none"/>
              </w:rPr>
            </w:pPr>
            <w:r>
              <w:rPr>
                <w:rFonts w:hint="eastAsia" w:ascii="宋体" w:hAnsi="宋体"/>
                <w:color w:val="auto"/>
                <w:szCs w:val="21"/>
                <w:highlight w:val="none"/>
              </w:rPr>
              <w:t>本项目</w:t>
            </w:r>
            <w:r>
              <w:rPr>
                <w:rFonts w:hint="eastAsia" w:ascii="宋体" w:hAnsi="宋体"/>
                <w:color w:val="auto"/>
                <w:szCs w:val="21"/>
                <w:highlight w:val="none"/>
                <w:lang w:eastAsia="zh-CN"/>
              </w:rPr>
              <w:t>采购包</w:t>
            </w:r>
            <w:r>
              <w:rPr>
                <w:rFonts w:hint="eastAsia" w:ascii="宋体" w:hAnsi="宋体"/>
                <w:color w:val="auto"/>
                <w:szCs w:val="21"/>
                <w:highlight w:val="none"/>
              </w:rPr>
              <w:t>一采购人预算价</w:t>
            </w:r>
            <w:r>
              <w:rPr>
                <w:rFonts w:hint="eastAsia" w:ascii="宋体" w:hAnsi="宋体"/>
                <w:color w:val="auto"/>
                <w:szCs w:val="21"/>
                <w:highlight w:val="none"/>
                <w:lang w:eastAsia="zh-CN"/>
              </w:rPr>
              <w:t>详见《采购标的一览表》，</w:t>
            </w:r>
            <w:r>
              <w:rPr>
                <w:rFonts w:hint="eastAsia" w:ascii="宋体" w:hAnsi="宋体"/>
                <w:color w:val="auto"/>
                <w:szCs w:val="21"/>
                <w:highlight w:val="none"/>
              </w:rPr>
              <w:t>如供应商的报价超过最高限价的报价视为无效报价。供应商可依据市场行情和自身情况，自由竞价。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55"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13</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24.1</w:t>
            </w: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履约保证金：</w:t>
            </w:r>
            <w:r>
              <w:rPr>
                <w:rFonts w:hint="eastAsia" w:ascii="宋体" w:hAnsi="宋体" w:cs="宋体"/>
                <w:b w:val="0"/>
                <w:bCs w:val="0"/>
                <w:color w:val="auto"/>
                <w:kern w:val="0"/>
                <w:szCs w:val="21"/>
                <w:highlight w:val="none"/>
                <w:lang w:eastAsia="zh-CN"/>
              </w:rPr>
              <w:t>详见第三章《采购内容及要求》</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55"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pacing w:line="500" w:lineRule="exact"/>
              <w:rPr>
                <w:rFonts w:ascii="宋体" w:hAnsi="宋体"/>
                <w:color w:val="auto"/>
                <w:szCs w:val="21"/>
                <w:highlight w:val="none"/>
              </w:rPr>
            </w:pPr>
            <w:r>
              <w:rPr>
                <w:rStyle w:val="21"/>
                <w:rFonts w:hint="eastAsia" w:ascii="宋体" w:hAnsi="宋体" w:cs="宋体"/>
                <w:color w:val="auto"/>
                <w:szCs w:val="21"/>
                <w:highlight w:val="none"/>
              </w:rPr>
              <w:t>（响应）报价无效条款：</w:t>
            </w:r>
          </w:p>
          <w:p>
            <w:pPr>
              <w:spacing w:line="500" w:lineRule="exact"/>
              <w:rPr>
                <w:rFonts w:ascii="宋体" w:hAnsi="宋体"/>
                <w:color w:val="auto"/>
                <w:szCs w:val="21"/>
                <w:highlight w:val="none"/>
              </w:rPr>
            </w:pPr>
            <w:r>
              <w:rPr>
                <w:rFonts w:hint="eastAsia" w:ascii="宋体" w:hAnsi="宋体"/>
                <w:color w:val="auto"/>
                <w:szCs w:val="21"/>
                <w:highlight w:val="none"/>
              </w:rPr>
              <w:t>（1）本章表</w:t>
            </w:r>
            <w:r>
              <w:rPr>
                <w:rFonts w:hint="eastAsia" w:ascii="宋体" w:hAnsi="宋体" w:cs="Calibri"/>
                <w:color w:val="auto"/>
                <w:szCs w:val="21"/>
                <w:highlight w:val="none"/>
              </w:rPr>
              <w:t>1</w:t>
            </w:r>
            <w:r>
              <w:rPr>
                <w:rFonts w:hint="eastAsia" w:ascii="宋体" w:hAnsi="宋体"/>
                <w:color w:val="auto"/>
                <w:szCs w:val="21"/>
                <w:highlight w:val="none"/>
              </w:rPr>
              <w:t>报价（响应）无效的规定；</w:t>
            </w:r>
          </w:p>
          <w:p>
            <w:pPr>
              <w:spacing w:line="5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（2）本章第1节中的第5.1.3，以及第2节中的第7.1、7.2、9.1、10.2、11、12.2、14.2、14.8条；</w:t>
            </w:r>
          </w:p>
          <w:p>
            <w:pPr>
              <w:widowControl/>
              <w:spacing w:line="500" w:lineRule="exact"/>
              <w:jc w:val="left"/>
              <w:rPr>
                <w:rFonts w:hint="eastAsia" w:ascii="宋体" w:hAnsi="宋体"/>
                <w:color w:val="auto"/>
                <w:szCs w:val="21"/>
                <w:highlight w:val="none"/>
              </w:rPr>
            </w:pPr>
            <w:r>
              <w:rPr>
                <w:rFonts w:hint="eastAsia" w:ascii="宋体" w:hAnsi="宋体"/>
                <w:color w:val="auto"/>
                <w:szCs w:val="21"/>
                <w:highlight w:val="none"/>
              </w:rPr>
              <w:t>（3）</w:t>
            </w:r>
            <w:r>
              <w:rPr>
                <w:rFonts w:hint="eastAsia" w:ascii="宋体" w:hAnsi="宋体" w:eastAsia="宋体" w:cs="Times New Roman"/>
                <w:color w:val="auto"/>
                <w:szCs w:val="21"/>
                <w:highlight w:val="none"/>
              </w:rPr>
              <w:t>本章评定成交的标准和方法及第五章响应文件格式规定的报价无效的规定。无效投标</w:t>
            </w:r>
            <w:r>
              <w:rPr>
                <w:rFonts w:hint="eastAsia" w:ascii="宋体" w:hAnsi="宋体" w:eastAsia="宋体" w:cs="Times New Roman"/>
                <w:color w:val="auto"/>
                <w:szCs w:val="21"/>
                <w:highlight w:val="none"/>
                <w:lang w:eastAsia="zh-CN"/>
              </w:rPr>
              <w:t>（报价）</w:t>
            </w:r>
            <w:r>
              <w:rPr>
                <w:rFonts w:hint="eastAsia" w:ascii="宋体" w:hAnsi="宋体" w:eastAsia="宋体" w:cs="Times New Roman"/>
                <w:color w:val="auto"/>
                <w:szCs w:val="21"/>
                <w:highlight w:val="none"/>
              </w:rPr>
              <w:t>及废标条款具体内容详见</w:t>
            </w:r>
            <w:r>
              <w:rPr>
                <w:rFonts w:hint="eastAsia" w:ascii="宋体" w:hAnsi="宋体" w:eastAsia="宋体" w:cs="Times New Roman"/>
                <w:color w:val="auto"/>
                <w:szCs w:val="21"/>
                <w:highlight w:val="none"/>
                <w:lang w:eastAsia="zh-CN"/>
              </w:rPr>
              <w:t>竞争性谈判</w:t>
            </w:r>
            <w:r>
              <w:rPr>
                <w:rFonts w:hint="eastAsia" w:ascii="宋体" w:hAnsi="宋体" w:eastAsia="宋体" w:cs="Times New Roman"/>
                <w:color w:val="auto"/>
                <w:szCs w:val="21"/>
                <w:highlight w:val="none"/>
              </w:rPr>
              <w:t>文件各章节，请各</w:t>
            </w:r>
            <w:r>
              <w:rPr>
                <w:rFonts w:hint="eastAsia" w:ascii="宋体" w:hAnsi="宋体" w:cs="Times New Roman"/>
                <w:color w:val="auto"/>
                <w:szCs w:val="21"/>
                <w:highlight w:val="none"/>
                <w:lang w:eastAsia="zh-CN"/>
              </w:rPr>
              <w:t>供应商</w:t>
            </w:r>
            <w:r>
              <w:rPr>
                <w:rFonts w:hint="eastAsia" w:ascii="宋体" w:hAnsi="宋体" w:eastAsia="宋体" w:cs="Times New Roman"/>
                <w:color w:val="auto"/>
                <w:szCs w:val="21"/>
                <w:highlight w:val="none"/>
              </w:rPr>
              <w:t>认真查看对照</w:t>
            </w:r>
            <w:r>
              <w:rPr>
                <w:rFonts w:hint="eastAsia" w:ascii="宋体" w:hAnsi="宋体" w:eastAsia="宋体" w:cs="Times New Roman"/>
                <w:color w:val="auto"/>
                <w:szCs w:val="21"/>
                <w:highlight w:val="none"/>
                <w:lang w:eastAsia="zh-CN"/>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94"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15</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25</w:t>
            </w: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根据采购项目特点或政策需要补充的其他新增内容：</w:t>
            </w:r>
          </w:p>
          <w:p>
            <w:pPr>
              <w:widowControl/>
              <w:spacing w:line="500" w:lineRule="exact"/>
              <w:jc w:val="left"/>
              <w:rPr>
                <w:rFonts w:hint="eastAsia" w:ascii="宋体" w:hAnsi="宋体" w:cs="宋体"/>
                <w:bCs/>
                <w:color w:val="auto"/>
                <w:szCs w:val="21"/>
                <w:highlight w:val="none"/>
              </w:rPr>
            </w:pPr>
            <w:r>
              <w:rPr>
                <w:rStyle w:val="21"/>
                <w:rFonts w:hint="eastAsia" w:ascii="宋体" w:hAnsi="宋体" w:cs="宋体"/>
                <w:color w:val="auto"/>
                <w:szCs w:val="21"/>
                <w:highlight w:val="none"/>
                <w:lang w:eastAsia="zh-CN"/>
              </w:rPr>
              <w:t>（一）</w:t>
            </w:r>
            <w:r>
              <w:rPr>
                <w:rStyle w:val="21"/>
                <w:rFonts w:hint="eastAsia" w:ascii="宋体" w:hAnsi="宋体" w:cs="宋体"/>
                <w:color w:val="auto"/>
                <w:szCs w:val="21"/>
                <w:highlight w:val="none"/>
              </w:rPr>
              <w:t>采购代理服务费：</w:t>
            </w:r>
            <w:r>
              <w:rPr>
                <w:rFonts w:hint="eastAsia"/>
                <w:color w:val="auto"/>
                <w:highlight w:val="none"/>
              </w:rPr>
              <w:t>本项目代理费服务费由</w:t>
            </w:r>
            <w:r>
              <w:rPr>
                <w:rFonts w:hint="eastAsia"/>
                <w:color w:val="auto"/>
                <w:highlight w:val="none"/>
                <w:lang w:val="en-US" w:eastAsia="zh-CN"/>
              </w:rPr>
              <w:t>成交人</w:t>
            </w:r>
            <w:r>
              <w:rPr>
                <w:rFonts w:hint="eastAsia"/>
                <w:color w:val="auto"/>
                <w:highlight w:val="none"/>
              </w:rPr>
              <w:t>支付。</w:t>
            </w:r>
            <w:r>
              <w:rPr>
                <w:rFonts w:hint="eastAsia"/>
                <w:color w:val="auto"/>
                <w:highlight w:val="none"/>
                <w:lang w:val="en-US" w:eastAsia="zh-CN"/>
              </w:rPr>
              <w:t>代理</w:t>
            </w:r>
            <w:r>
              <w:rPr>
                <w:rFonts w:hint="eastAsia"/>
                <w:color w:val="auto"/>
                <w:highlight w:val="none"/>
              </w:rPr>
              <w:t>服务费：</w:t>
            </w:r>
            <w:r>
              <w:rPr>
                <w:rFonts w:hint="eastAsia"/>
                <w:color w:val="auto"/>
                <w:highlight w:val="none"/>
                <w:lang w:val="en-US" w:eastAsia="zh-CN"/>
              </w:rPr>
              <w:t>成交</w:t>
            </w:r>
            <w:r>
              <w:rPr>
                <w:rFonts w:hint="eastAsia"/>
                <w:color w:val="auto"/>
                <w:highlight w:val="none"/>
              </w:rPr>
              <w:t>总金额100万元以下按金额的1.5%收取</w:t>
            </w:r>
            <w:r>
              <w:rPr>
                <w:rFonts w:hint="eastAsia"/>
                <w:color w:val="auto"/>
                <w:highlight w:val="none"/>
                <w:lang w:eastAsia="zh-CN"/>
              </w:rPr>
              <w:t>；</w:t>
            </w:r>
            <w:r>
              <w:rPr>
                <w:rFonts w:hint="eastAsia"/>
                <w:color w:val="auto"/>
                <w:highlight w:val="none"/>
              </w:rPr>
              <w:t>100万元～500万元</w:t>
            </w:r>
            <w:r>
              <w:rPr>
                <w:rFonts w:hint="eastAsia"/>
                <w:color w:val="auto"/>
                <w:highlight w:val="none"/>
                <w:lang w:val="en-US" w:eastAsia="zh-CN"/>
              </w:rPr>
              <w:t>部分</w:t>
            </w:r>
            <w:r>
              <w:rPr>
                <w:rFonts w:hint="eastAsia"/>
                <w:color w:val="auto"/>
                <w:highlight w:val="none"/>
              </w:rPr>
              <w:t>，按金额的</w:t>
            </w:r>
            <w:r>
              <w:rPr>
                <w:rFonts w:hint="eastAsia"/>
                <w:color w:val="auto"/>
                <w:highlight w:val="none"/>
                <w:lang w:val="en-US" w:eastAsia="zh-CN"/>
              </w:rPr>
              <w:t>0.8</w:t>
            </w:r>
            <w:r>
              <w:rPr>
                <w:rFonts w:hint="eastAsia"/>
                <w:color w:val="auto"/>
                <w:highlight w:val="none"/>
              </w:rPr>
              <w:t xml:space="preserve"> %收取；服务费按差额定率累进法计算。</w:t>
            </w:r>
            <w:r>
              <w:rPr>
                <w:rStyle w:val="21"/>
                <w:rFonts w:hint="eastAsia" w:ascii="宋体" w:hAnsi="宋体" w:cs="宋体"/>
                <w:b w:val="0"/>
                <w:bCs/>
                <w:color w:val="auto"/>
                <w:szCs w:val="21"/>
                <w:highlight w:val="none"/>
              </w:rPr>
              <w:t>成交人应及时以转帐或电汇付款方式一次性将招标代理服务费汇入对应账户。</w:t>
            </w:r>
          </w:p>
          <w:p>
            <w:pPr>
              <w:widowControl/>
              <w:spacing w:line="500" w:lineRule="exact"/>
              <w:jc w:val="left"/>
              <w:rPr>
                <w:rFonts w:hint="eastAsia" w:ascii="宋体" w:hAnsi="宋体" w:eastAsia="宋体" w:cs="宋体"/>
                <w:color w:val="auto"/>
                <w:kern w:val="0"/>
                <w:szCs w:val="21"/>
                <w:highlight w:val="none"/>
                <w:lang w:val="en-US" w:eastAsia="zh-CN"/>
              </w:rPr>
            </w:pPr>
            <w:r>
              <w:rPr>
                <w:rFonts w:hint="eastAsia" w:ascii="宋体" w:hAnsi="宋体" w:cs="宋体"/>
                <w:b/>
                <w:bCs/>
                <w:color w:val="auto"/>
                <w:szCs w:val="21"/>
                <w:highlight w:val="none"/>
                <w:lang w:eastAsia="zh-CN"/>
              </w:rPr>
              <w:t>（二）</w:t>
            </w:r>
            <w:r>
              <w:rPr>
                <w:rFonts w:hint="eastAsia" w:ascii="宋体" w:hAnsi="宋体" w:cs="宋体"/>
                <w:b/>
                <w:bCs/>
                <w:color w:val="auto"/>
                <w:szCs w:val="21"/>
                <w:highlight w:val="none"/>
              </w:rPr>
              <w:t>样品的规定及要求：</w:t>
            </w:r>
            <w:r>
              <w:rPr>
                <w:rFonts w:hint="eastAsia" w:ascii="宋体" w:hAnsi="宋体" w:eastAsia="宋体" w:cs="宋体"/>
                <w:bCs/>
                <w:color w:val="auto"/>
                <w:szCs w:val="21"/>
                <w:highlight w:val="none"/>
                <w:lang w:val="en-US" w:eastAsia="zh-CN"/>
              </w:rPr>
              <w:t>/</w:t>
            </w:r>
          </w:p>
          <w:p>
            <w:pPr>
              <w:widowControl/>
              <w:spacing w:line="500" w:lineRule="exact"/>
              <w:jc w:val="left"/>
              <w:rPr>
                <w:rFonts w:hint="eastAsia" w:ascii="宋体" w:hAnsi="宋体" w:eastAsia="宋体" w:cs="宋体"/>
                <w:color w:val="auto"/>
                <w:kern w:val="0"/>
                <w:szCs w:val="21"/>
                <w:highlight w:val="none"/>
                <w:lang w:eastAsia="zh-CN"/>
              </w:rPr>
            </w:pPr>
            <w:r>
              <w:rPr>
                <w:rFonts w:hint="eastAsia" w:ascii="宋体" w:hAnsi="宋体" w:eastAsia="宋体" w:cs="宋体"/>
                <w:b/>
                <w:bCs/>
                <w:color w:val="auto"/>
                <w:kern w:val="0"/>
                <w:szCs w:val="21"/>
                <w:highlight w:val="none"/>
                <w:lang w:eastAsia="zh-CN"/>
              </w:rPr>
              <w:t>（三）质疑受理的其它要求：</w:t>
            </w:r>
            <w:r>
              <w:rPr>
                <w:rFonts w:hint="eastAsia" w:ascii="宋体" w:hAnsi="宋体" w:eastAsia="宋体" w:cs="宋体"/>
                <w:color w:val="auto"/>
                <w:kern w:val="0"/>
                <w:szCs w:val="21"/>
                <w:highlight w:val="none"/>
                <w:lang w:eastAsia="zh-CN"/>
              </w:rPr>
              <w:t xml:space="preserve">在法定质疑期内质疑人须一次性提出针对同一采购程序环节的质疑，二（多）次质疑不予受理。质疑书应按《宁德市政府采购质疑投诉有关文书范本的通知》的政府采购供应商质疑函范本（下载网址： </w:t>
            </w:r>
            <w:r>
              <w:rPr>
                <w:rFonts w:hint="eastAsia" w:ascii="宋体" w:hAnsi="宋体" w:eastAsia="宋体" w:cs="宋体"/>
                <w:color w:val="auto"/>
                <w:kern w:val="0"/>
                <w:szCs w:val="21"/>
                <w:highlight w:val="none"/>
                <w:lang w:eastAsia="zh-CN"/>
              </w:rPr>
              <w:fldChar w:fldCharType="begin"/>
            </w:r>
            <w:r>
              <w:rPr>
                <w:rFonts w:hint="eastAsia" w:ascii="宋体" w:hAnsi="宋体" w:eastAsia="宋体" w:cs="宋体"/>
                <w:color w:val="auto"/>
                <w:kern w:val="0"/>
                <w:szCs w:val="21"/>
                <w:highlight w:val="none"/>
                <w:lang w:eastAsia="zh-CN"/>
              </w:rPr>
              <w:instrText xml:space="preserve"> HYPERLINK "http://218.5.222.40/350900/article/9b8e96e277e341d2bc6beb55fdf99545/a5a8907c7c4211e9ae760cda411dbbf4/）" </w:instrText>
            </w:r>
            <w:r>
              <w:rPr>
                <w:rFonts w:hint="eastAsia" w:ascii="宋体" w:hAnsi="宋体" w:eastAsia="宋体" w:cs="宋体"/>
                <w:color w:val="auto"/>
                <w:kern w:val="0"/>
                <w:szCs w:val="21"/>
                <w:highlight w:val="none"/>
                <w:lang w:eastAsia="zh-CN"/>
              </w:rPr>
              <w:fldChar w:fldCharType="separate"/>
            </w:r>
            <w:r>
              <w:rPr>
                <w:rStyle w:val="23"/>
                <w:rFonts w:hint="eastAsia" w:ascii="宋体" w:hAnsi="宋体" w:eastAsia="宋体" w:cs="宋体"/>
                <w:color w:val="auto"/>
                <w:kern w:val="0"/>
                <w:szCs w:val="21"/>
                <w:highlight w:val="none"/>
                <w:lang w:eastAsia="zh-CN"/>
              </w:rPr>
              <w:t>http://218.5.222.40/350900/article/9b8e96e277e341d2bc6beb55fdf99545/a5a8907c7c4211e9ae760cda411dbbf4/）</w:t>
            </w:r>
            <w:r>
              <w:rPr>
                <w:rFonts w:hint="eastAsia" w:ascii="宋体" w:hAnsi="宋体" w:eastAsia="宋体" w:cs="宋体"/>
                <w:color w:val="auto"/>
                <w:kern w:val="0"/>
                <w:szCs w:val="21"/>
                <w:highlight w:val="none"/>
                <w:lang w:eastAsia="zh-CN"/>
              </w:rPr>
              <w:fldChar w:fldCharType="end"/>
            </w:r>
            <w:r>
              <w:rPr>
                <w:rFonts w:hint="eastAsia" w:ascii="宋体" w:hAnsi="宋体" w:eastAsia="宋体" w:cs="宋体"/>
                <w:color w:val="auto"/>
                <w:kern w:val="0"/>
                <w:szCs w:val="21"/>
                <w:highlight w:val="none"/>
                <w:lang w:val="en-US" w:eastAsia="zh-CN"/>
              </w:rPr>
              <w:t>及本章“六、询问、质疑与投诉”相关内容</w:t>
            </w:r>
            <w:r>
              <w:rPr>
                <w:rFonts w:hint="eastAsia" w:ascii="宋体" w:hAnsi="宋体" w:eastAsia="宋体" w:cs="宋体"/>
                <w:color w:val="auto"/>
                <w:kern w:val="0"/>
                <w:szCs w:val="21"/>
                <w:highlight w:val="none"/>
                <w:lang w:eastAsia="zh-CN"/>
              </w:rPr>
              <w:t>编制提供。</w:t>
            </w:r>
          </w:p>
          <w:p>
            <w:pPr>
              <w:widowControl/>
              <w:spacing w:line="500" w:lineRule="exact"/>
              <w:jc w:val="left"/>
              <w:rPr>
                <w:rFonts w:hint="eastAsia" w:ascii="宋体" w:hAnsi="宋体" w:eastAsia="宋体" w:cs="宋体"/>
                <w:bCs/>
                <w:color w:val="auto"/>
                <w:szCs w:val="21"/>
                <w:highlight w:val="none"/>
                <w:lang w:eastAsia="zh-CN"/>
              </w:rPr>
            </w:pPr>
            <w:r>
              <w:rPr>
                <w:rFonts w:hint="eastAsia" w:ascii="宋体" w:hAnsi="宋体" w:eastAsia="宋体" w:cs="宋体"/>
                <w:b/>
                <w:bCs/>
                <w:color w:val="auto"/>
                <w:kern w:val="0"/>
                <w:szCs w:val="21"/>
                <w:highlight w:val="none"/>
                <w:lang w:eastAsia="zh-CN"/>
              </w:rPr>
              <w:t>（四）其他要求：</w:t>
            </w:r>
            <w:r>
              <w:rPr>
                <w:rFonts w:hint="eastAsia" w:ascii="宋体" w:hAnsi="宋体" w:eastAsia="宋体" w:cs="宋体"/>
                <w:color w:val="auto"/>
                <w:kern w:val="0"/>
                <w:szCs w:val="21"/>
                <w:highlight w:val="none"/>
                <w:lang w:eastAsia="zh-CN"/>
              </w:rPr>
              <w:t>各</w:t>
            </w:r>
            <w:r>
              <w:rPr>
                <w:rFonts w:hint="eastAsia" w:ascii="宋体" w:hAnsi="宋体" w:eastAsia="宋体" w:cs="宋体"/>
                <w:color w:val="auto"/>
                <w:kern w:val="0"/>
                <w:szCs w:val="21"/>
                <w:highlight w:val="none"/>
                <w:lang w:val="en-US" w:eastAsia="zh-CN"/>
              </w:rPr>
              <w:t>供应商</w:t>
            </w:r>
            <w:r>
              <w:rPr>
                <w:rFonts w:hint="eastAsia" w:ascii="宋体" w:hAnsi="宋体" w:eastAsia="宋体" w:cs="宋体"/>
                <w:color w:val="auto"/>
                <w:kern w:val="0"/>
                <w:szCs w:val="21"/>
                <w:highlight w:val="none"/>
                <w:lang w:eastAsia="zh-CN"/>
              </w:rPr>
              <w:t>要密切关注各地的疫情防控特别是现场准入、管理要求，防止影响自身参加</w:t>
            </w:r>
            <w:r>
              <w:rPr>
                <w:rFonts w:hint="eastAsia" w:ascii="宋体" w:hAnsi="宋体" w:eastAsia="宋体" w:cs="宋体"/>
                <w:color w:val="auto"/>
                <w:kern w:val="0"/>
                <w:szCs w:val="21"/>
                <w:highlight w:val="none"/>
                <w:lang w:val="en-US" w:eastAsia="zh-CN"/>
              </w:rPr>
              <w:t>竞争性谈判活动</w:t>
            </w:r>
            <w:r>
              <w:rPr>
                <w:rFonts w:hint="eastAsia" w:ascii="宋体" w:hAnsi="宋体" w:eastAsia="宋体" w:cs="宋体"/>
                <w:color w:val="auto"/>
                <w:kern w:val="0"/>
                <w:szCs w:val="21"/>
                <w:highlight w:val="none"/>
                <w:lang w:eastAsia="zh-CN"/>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840"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905"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p>
        </w:tc>
        <w:tc>
          <w:tcPr>
            <w:tcW w:w="801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评审的标准和方法：具体内容详见竞争性谈判须知前附表专项附件“评审的标准和方法”。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13" w:hRule="atLeast"/>
          <w:tblCellSpacing w:w="15" w:type="dxa"/>
        </w:trPr>
        <w:tc>
          <w:tcPr>
            <w:tcW w:w="669" w:type="dxa"/>
            <w:tcBorders>
              <w:top w:val="single" w:color="000000" w:sz="6" w:space="0"/>
              <w:left w:val="single" w:color="000000" w:sz="6" w:space="0"/>
              <w:bottom w:val="single" w:color="000000" w:sz="6" w:space="0"/>
              <w:right w:val="single" w:color="000000" w:sz="6" w:space="0"/>
            </w:tcBorders>
            <w:noWrap w:val="0"/>
            <w:vAlign w:val="center"/>
          </w:tcPr>
          <w:p>
            <w:pPr>
              <w:widowControl/>
              <w:spacing w:line="50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17</w:t>
            </w:r>
          </w:p>
        </w:tc>
        <w:tc>
          <w:tcPr>
            <w:tcW w:w="905" w:type="dxa"/>
            <w:tcBorders>
              <w:top w:val="single" w:color="000000" w:sz="6" w:space="0"/>
              <w:left w:val="single" w:color="000000" w:sz="6" w:space="0"/>
              <w:bottom w:val="single" w:color="000000" w:sz="6" w:space="0"/>
              <w:right w:val="single" w:color="000000" w:sz="6" w:space="0"/>
            </w:tcBorders>
            <w:noWrap w:val="0"/>
            <w:vAlign w:val="center"/>
          </w:tcPr>
          <w:p>
            <w:pPr>
              <w:widowControl/>
              <w:spacing w:line="500" w:lineRule="exact"/>
              <w:jc w:val="left"/>
              <w:rPr>
                <w:rFonts w:hint="eastAsia" w:ascii="宋体" w:hAnsi="宋体" w:cs="宋体"/>
                <w:color w:val="auto"/>
                <w:kern w:val="0"/>
                <w:szCs w:val="21"/>
                <w:highlight w:val="none"/>
              </w:rPr>
            </w:pPr>
          </w:p>
        </w:tc>
        <w:tc>
          <w:tcPr>
            <w:tcW w:w="8012" w:type="dxa"/>
            <w:tcBorders>
              <w:top w:val="single" w:color="000000" w:sz="6" w:space="0"/>
              <w:left w:val="single" w:color="000000" w:sz="6" w:space="0"/>
              <w:bottom w:val="single" w:color="000000" w:sz="6" w:space="0"/>
              <w:right w:val="single" w:color="000000"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是否组织现场考察或召开开标前答疑会：</w:t>
            </w:r>
            <w:r>
              <w:rPr>
                <w:rFonts w:hint="eastAsia" w:ascii="宋体" w:hAnsi="宋体"/>
                <w:color w:val="auto"/>
                <w:szCs w:val="21"/>
                <w:highlight w:val="none"/>
              </w:rPr>
              <w:t>否。</w:t>
            </w:r>
          </w:p>
        </w:tc>
      </w:tr>
    </w:tbl>
    <w:p>
      <w:pPr>
        <w:widowControl/>
        <w:spacing w:line="500" w:lineRule="exact"/>
        <w:jc w:val="left"/>
        <w:rPr>
          <w:rFonts w:hint="eastAsia" w:ascii="宋体" w:hAnsi="宋体" w:cs="宋体"/>
          <w:color w:val="auto"/>
          <w:kern w:val="0"/>
          <w:szCs w:val="21"/>
          <w:highlight w:val="none"/>
        </w:rPr>
      </w:pP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专项附件：评审的标准和方法</w:t>
      </w:r>
    </w:p>
    <w:p>
      <w:pPr>
        <w:widowControl/>
        <w:numPr>
          <w:ilvl w:val="0"/>
          <w:numId w:val="3"/>
        </w:numPr>
        <w:spacing w:line="500" w:lineRule="exact"/>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谈判小组</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1.1采购人根据项目的特点依法组建谈判小组。</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1.2谈判小组由采购人代表和评审专家两部分（以下简称“评委”）共</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人组成，其中：采购人代表1人由采购人派出，评审专家</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人由</w:t>
      </w:r>
      <w:r>
        <w:rPr>
          <w:rFonts w:hint="eastAsia" w:ascii="宋体" w:hAnsi="宋体" w:cs="宋体"/>
          <w:color w:val="auto"/>
          <w:kern w:val="0"/>
          <w:szCs w:val="21"/>
          <w:highlight w:val="none"/>
          <w:lang w:eastAsia="zh-CN"/>
        </w:rPr>
        <w:t>指定</w:t>
      </w:r>
      <w:r>
        <w:rPr>
          <w:rFonts w:hint="eastAsia" w:ascii="宋体" w:hAnsi="宋体" w:cs="宋体"/>
          <w:color w:val="auto"/>
          <w:kern w:val="0"/>
          <w:szCs w:val="21"/>
          <w:highlight w:val="none"/>
        </w:rPr>
        <w:t>评审专家库产生。达到公开招标数额标准的货物或者服务采购项目，或者达到招标规模标准的采购工程，竞争性谈判小组应当由5人或以上单数组成。</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1.3谈判小组负责具体谈判和评审事务，并按照下列原则依法独立履行有关职责：</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1.3.1评审应保护国家利益、社会公共利益和各方当事人合法权益，提高采购效益，保证项目质量。</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1.3.2评审应遵循公平、公正、科学、严谨和择优原则。</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1.3.3评审的依据是谈判文件和响应文件，谈判文件中没有规定的评审标准不得作为评审依据。</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1.3.4谈判小组应按照谈判文件规定推荐成交候选供应商或根据采购人的授权确定成交供应商。</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1.3.5评审应遵守下列评审纪律：</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①评审情况不得私自外泄，有关信息由采购人或其委托的代理机构统一对外发布。</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②对采购人或供应商提供的要求保密的资料，不得摘记翻印和外传。</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③不得收受供应商或有关人员的任何礼物，不得串联鼓动其他人袒护某供应商。若与供应商存在利害关系，则应主动声明并回避。</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④全体谈判小组成员应按照谈判文件规定进行评审，一切认定事项应查有实据且不得弄虚作假。</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⑤评审中应充分发扬民主，推荐成交供应商候选人或根据采购人授权确定成交供应商后要服从评审报告。</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※对违反评审纪律的评委，将取消其评委资格，对评审工作造成严重损失者将予以通报批评乃至追究法律责任。</w:t>
      </w:r>
    </w:p>
    <w:p>
      <w:pPr>
        <w:widowControl/>
        <w:spacing w:line="500" w:lineRule="exac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二、</w:t>
      </w:r>
      <w:r>
        <w:rPr>
          <w:rFonts w:hint="eastAsia" w:ascii="宋体" w:hAnsi="宋体" w:cs="宋体"/>
          <w:b/>
          <w:bCs/>
          <w:color w:val="auto"/>
          <w:kern w:val="0"/>
          <w:szCs w:val="21"/>
          <w:highlight w:val="none"/>
        </w:rPr>
        <w:t>谈判程序</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2.1谈判程序按照谈判文件第二章第2节“竞争性谈判须知”第14条“谈判程序以及评定成交的标准”的相关条款规定执行。</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谈判文件不能详细列明采购标的的技术、服务要求，需经谈判由供应商提供最终设计方案或解决方案的，谈判结束后，谈判小组应当按照少数服从多数的原则投票推荐3家以上供应商的设计方案或者解决方案，并要求其在规定时间内提交最后报价。属于《政府采购非招标采购方式管理办法》等相关法律法规及财政部门颁布的规范性文件允许的两家供应商进行竞争性谈判采购情形，则提交最后报价的供应商可以为2家。</w:t>
      </w:r>
    </w:p>
    <w:p>
      <w:pPr>
        <w:widowControl/>
        <w:spacing w:line="500" w:lineRule="exact"/>
        <w:ind w:firstLine="24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谈判文件不能详细列明采购标的的技术、服务要求，需经谈判由供应商提供最终设计方案或解决方案的项目，则此文本框中用于填写推荐数量和投票细则等内容，由采购人根据谈判项目实际情况进行具体编制和明确规定）</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2.3只有资格审查和实质性响应审查均合格且按规定提交最后报价的合格供应商才能参加评定成交的最后价格排序和成交候选人推荐。</w:t>
      </w:r>
    </w:p>
    <w:p>
      <w:pPr>
        <w:widowControl/>
        <w:spacing w:line="500" w:lineRule="exac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三、最低评审价法和成交候选人推荐</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3.1谈判小组将采用最低评标价法对提交最后报价的合格供应商的响应文件和最后报价进行评审，并推荐成交候选人。如果谈判项目有多个</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，则按相应</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分别进行，具体评审的标准和方法如下：</w:t>
      </w:r>
    </w:p>
    <w:p>
      <w:pPr>
        <w:widowControl/>
        <w:spacing w:line="500" w:lineRule="exact"/>
        <w:ind w:firstLine="465"/>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3.1.1根据财政部及福建省财政厅等有关政府采购文件规定执行价格评审优惠政策，价格扣除规则如下：</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包1:</w:t>
      </w:r>
    </w:p>
    <w:p>
      <w:pPr>
        <w:numPr>
          <w:ilvl w:val="0"/>
          <w:numId w:val="4"/>
        </w:numPr>
        <w:spacing w:line="500" w:lineRule="exact"/>
        <w:ind w:left="-4" w:leftChars="0" w:firstLine="424" w:firstLineChars="0"/>
        <w:rPr>
          <w:rFonts w:hint="eastAsia" w:ascii="宋体" w:hAnsi="宋体"/>
          <w:color w:val="auto"/>
          <w:szCs w:val="21"/>
          <w:highlight w:val="none"/>
          <w:shd w:val="clear" w:color="auto" w:fill="FFFFFF"/>
        </w:rPr>
      </w:pPr>
      <w:r>
        <w:rPr>
          <w:rFonts w:hint="eastAsia" w:ascii="宋体" w:hAnsi="宋体"/>
          <w:color w:val="auto"/>
          <w:szCs w:val="21"/>
          <w:highlight w:val="none"/>
          <w:shd w:val="clear" w:color="auto" w:fill="FFFFFF"/>
        </w:rPr>
        <w:t>小型、微型企业，监狱企业，残疾人福利性单位：</w:t>
      </w:r>
      <w:r>
        <w:rPr>
          <w:rFonts w:hint="eastAsia" w:ascii="宋体" w:hAnsi="宋体"/>
          <w:color w:val="auto"/>
          <w:szCs w:val="21"/>
          <w:highlight w:val="none"/>
          <w:shd w:val="clear" w:color="auto" w:fill="FFFFFF"/>
          <w:lang w:val="en-US" w:eastAsia="zh-CN"/>
        </w:rPr>
        <w:t xml:space="preserve">   </w:t>
      </w:r>
      <w:r>
        <w:rPr>
          <w:rFonts w:hint="eastAsia" w:ascii="宋体" w:hAnsi="宋体"/>
          <w:color w:val="auto"/>
          <w:szCs w:val="21"/>
          <w:highlight w:val="none"/>
          <w:shd w:val="clear" w:color="auto" w:fill="FFFFFF"/>
        </w:rPr>
        <w:t xml:space="preserve"> </w:t>
      </w:r>
    </w:p>
    <w:tbl>
      <w:tblPr>
        <w:tblStyle w:val="18"/>
        <w:tblW w:w="9808"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980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9" w:hRule="atLeast"/>
          <w:tblCellSpacing w:w="0" w:type="dxa"/>
        </w:trPr>
        <w:tc>
          <w:tcPr>
            <w:tcW w:w="9808"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auto"/>
                <w:kern w:val="2"/>
                <w:sz w:val="21"/>
                <w:szCs w:val="21"/>
                <w:highlight w:val="none"/>
                <w:shd w:val="clear" w:color="auto" w:fill="FFFFFF"/>
              </w:rPr>
            </w:pPr>
            <w:r>
              <w:rPr>
                <w:rFonts w:hint="eastAsia" w:ascii="宋体" w:hAnsi="宋体" w:eastAsia="宋体" w:cs="宋体"/>
                <w:color w:val="auto"/>
                <w:kern w:val="2"/>
                <w:sz w:val="21"/>
                <w:szCs w:val="21"/>
                <w:highlight w:val="none"/>
                <w:shd w:val="clear" w:color="auto" w:fill="FFFFFF"/>
                <w:lang w:val="en-US" w:eastAsia="zh-CN" w:bidi="ar"/>
              </w:rPr>
              <w:t>一、中小企业优惠政策：</w:t>
            </w:r>
          </w:p>
          <w:p>
            <w:pPr>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auto"/>
                <w:kern w:val="2"/>
                <w:sz w:val="21"/>
                <w:szCs w:val="21"/>
                <w:highlight w:val="none"/>
                <w:shd w:val="clear" w:color="auto" w:fill="FFFFFF"/>
                <w:lang w:val="en-US" w:eastAsia="zh-CN" w:bidi="ar"/>
              </w:rPr>
            </w:pPr>
            <w:r>
              <w:rPr>
                <w:rFonts w:hint="eastAsia" w:ascii="宋体" w:hAnsi="宋体" w:eastAsia="宋体" w:cs="宋体"/>
                <w:color w:val="auto"/>
                <w:kern w:val="2"/>
                <w:sz w:val="21"/>
                <w:szCs w:val="21"/>
                <w:highlight w:val="none"/>
                <w:shd w:val="clear" w:color="auto" w:fill="FFFFFF"/>
                <w:lang w:val="en-US" w:eastAsia="zh-CN" w:bidi="ar"/>
              </w:rPr>
              <w:t>（一）根据财政部、工信部印发的《政府采购促进中小企业发展管理办法》（财库【2020】46号）文件精神，中小企业是指在中华人民共和国境内依法设立，符合《工业和信息化部、国家统计局、国家发展和改革委员会、财政部关于印发中小企业划型标准规定的通知》（工信部联企业[2011]300号）规定的划分标准确定的中型企业、小型企业和微型企业，但与大企业的负责人为同一人，或者与大企业存在直接控股、管理关系的除外；</w:t>
            </w:r>
          </w:p>
          <w:p>
            <w:pPr>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auto"/>
                <w:kern w:val="2"/>
                <w:sz w:val="21"/>
                <w:szCs w:val="21"/>
                <w:highlight w:val="none"/>
                <w:shd w:val="clear" w:color="auto" w:fill="FFFFFF"/>
              </w:rPr>
            </w:pPr>
            <w:r>
              <w:rPr>
                <w:rFonts w:hint="eastAsia" w:ascii="宋体" w:hAnsi="宋体" w:eastAsia="宋体" w:cs="宋体"/>
                <w:color w:val="auto"/>
                <w:kern w:val="2"/>
                <w:sz w:val="21"/>
                <w:szCs w:val="21"/>
                <w:highlight w:val="none"/>
                <w:shd w:val="clear" w:color="auto" w:fill="FFFFFF"/>
                <w:lang w:val="en-US" w:eastAsia="zh-CN" w:bidi="ar"/>
              </w:rPr>
              <w:t>但与大企业的负责人为同一人，或者与大企业存在直接控股、管理关系的除外。符合中小企业划分标准的个体工商户，在采购活动中视同中小企业。依据该办法规定享受扶持政策获得采购合同的，小微企业不得将合同分包给大中型企业，中型企业不得将合同分包给大型企业。</w:t>
            </w:r>
          </w:p>
          <w:p>
            <w:pPr>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auto"/>
                <w:kern w:val="2"/>
                <w:sz w:val="21"/>
                <w:szCs w:val="21"/>
                <w:highlight w:val="none"/>
                <w:shd w:val="clear" w:color="auto" w:fill="FFFFFF"/>
              </w:rPr>
            </w:pPr>
            <w:r>
              <w:rPr>
                <w:rFonts w:hint="eastAsia" w:ascii="宋体" w:hAnsi="宋体" w:eastAsia="宋体" w:cs="宋体"/>
                <w:color w:val="auto"/>
                <w:kern w:val="2"/>
                <w:sz w:val="21"/>
                <w:szCs w:val="21"/>
                <w:highlight w:val="none"/>
                <w:shd w:val="clear" w:color="auto" w:fill="FFFFFF"/>
                <w:lang w:val="en-US" w:eastAsia="zh-CN" w:bidi="ar"/>
              </w:rPr>
              <w:t>（二）供应商提供的货物、工程或者服务符合下列情形的，享受该办法规定的中小企业扶持政策：（1）在货物采购项目中，货物由中小企业制造，即货物由中小企业生产且使用该中小企业商号或者注册商标；（2）在工程采购项目中，工程由中小企业承建，即工程施工单位为中小企业；（3）在服务采购项目中，服务由中小企业承接，即提供服务的人员为中小企业依照《中华人民共和国劳动合同法》订立劳动合同的从业人员。</w:t>
            </w:r>
          </w:p>
          <w:p>
            <w:pPr>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auto"/>
                <w:kern w:val="2"/>
                <w:sz w:val="21"/>
                <w:szCs w:val="21"/>
                <w:highlight w:val="none"/>
                <w:shd w:val="clear" w:color="auto" w:fill="FFFFFF"/>
              </w:rPr>
            </w:pPr>
            <w:r>
              <w:rPr>
                <w:rFonts w:hint="eastAsia" w:ascii="宋体" w:hAnsi="宋体" w:eastAsia="宋体" w:cs="宋体"/>
                <w:color w:val="auto"/>
                <w:kern w:val="2"/>
                <w:sz w:val="21"/>
                <w:szCs w:val="21"/>
                <w:highlight w:val="none"/>
                <w:shd w:val="clear" w:color="auto" w:fill="FFFFFF"/>
                <w:lang w:val="en-US" w:eastAsia="zh-CN" w:bidi="ar"/>
              </w:rPr>
              <w:t>（三）评审时，对符合《政府采购促进中小企业发展管理办法》（财库﹝2020﹞46号）及《福建省财政厅关于进一步加大政府采购支持中小企业力度的通知》（闽财规〔2022〕13号）规定的小微企业报价给予价格扣除【（1）货物和服务项目：为15%；对于联合协议或者分包意向协议约定小微企业的合同份额占到合同总金额30%以上的，对联合体或者大中型企业的报价扣除比例为5%；（2）工程类项目：3%；对于联合协议或者分包意向协议约定小微企业的合同份额占到合同总金额30%以上的，对联合体或者大中型企业的报价扣除比例为1%】，用扣除后的价格参加评审。中小企业参加采购活动，应当出具该办法规定的</w:t>
            </w:r>
            <w:r>
              <w:rPr>
                <w:rFonts w:hint="eastAsia" w:ascii="宋体" w:hAnsi="宋体" w:eastAsia="宋体" w:cs="宋体"/>
                <w:b/>
                <w:color w:val="auto"/>
                <w:kern w:val="2"/>
                <w:sz w:val="21"/>
                <w:szCs w:val="21"/>
                <w:highlight w:val="none"/>
                <w:shd w:val="clear" w:color="auto" w:fill="FFFFFF"/>
                <w:lang w:val="en-US" w:eastAsia="zh-CN" w:bidi="ar"/>
              </w:rPr>
              <w:t>《中小企业声明函》</w:t>
            </w:r>
            <w:r>
              <w:rPr>
                <w:rFonts w:hint="eastAsia" w:ascii="宋体" w:hAnsi="宋体" w:eastAsia="宋体" w:cs="宋体"/>
                <w:color w:val="auto"/>
                <w:kern w:val="2"/>
                <w:sz w:val="21"/>
                <w:szCs w:val="21"/>
                <w:highlight w:val="none"/>
                <w:shd w:val="clear" w:color="auto" w:fill="FFFFFF"/>
                <w:lang w:val="en-US" w:eastAsia="zh-CN" w:bidi="ar"/>
              </w:rPr>
              <w:t>（格式详见竞争性谈判文件第五章），否则不得享受相关中小企业扶持政策。</w:t>
            </w:r>
          </w:p>
          <w:p>
            <w:pPr>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auto"/>
                <w:kern w:val="2"/>
                <w:sz w:val="21"/>
                <w:szCs w:val="21"/>
                <w:highlight w:val="none"/>
                <w:shd w:val="clear" w:color="auto" w:fill="FFFFFF"/>
              </w:rPr>
            </w:pPr>
            <w:r>
              <w:rPr>
                <w:rFonts w:hint="eastAsia" w:ascii="宋体" w:hAnsi="宋体" w:eastAsia="宋体" w:cs="宋体"/>
                <w:color w:val="auto"/>
                <w:kern w:val="2"/>
                <w:sz w:val="21"/>
                <w:szCs w:val="21"/>
                <w:highlight w:val="none"/>
                <w:shd w:val="clear" w:color="auto" w:fill="FFFFFF"/>
                <w:lang w:val="en-US" w:eastAsia="zh-CN" w:bidi="ar"/>
              </w:rPr>
              <w:t>（四）中标、成交供应商享受本办法规定的中小企业扶持政策的，采购人、采购代理机构应当随中标、成交结果公开中标、成交供应商的《中小企业声明函》。适用招标投标法的采购工程建设项目，应当在公示成交候选人时公开成交候选人的《中小企业声明函》。</w:t>
            </w:r>
          </w:p>
          <w:p>
            <w:pPr>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auto"/>
                <w:kern w:val="2"/>
                <w:sz w:val="21"/>
                <w:szCs w:val="21"/>
                <w:highlight w:val="none"/>
                <w:shd w:val="clear" w:color="auto" w:fill="FFFFFF"/>
              </w:rPr>
            </w:pPr>
            <w:r>
              <w:rPr>
                <w:rFonts w:hint="eastAsia" w:ascii="宋体" w:hAnsi="宋体" w:eastAsia="宋体" w:cs="宋体"/>
                <w:color w:val="auto"/>
                <w:kern w:val="2"/>
                <w:sz w:val="21"/>
                <w:szCs w:val="21"/>
                <w:highlight w:val="none"/>
                <w:shd w:val="clear" w:color="auto" w:fill="FFFFFF"/>
                <w:lang w:val="en-US" w:eastAsia="zh-CN" w:bidi="ar"/>
              </w:rPr>
              <w:t>（五）在货物采购项目中，</w:t>
            </w:r>
            <w:r>
              <w:rPr>
                <w:rFonts w:hint="eastAsia" w:ascii="宋体" w:hAnsi="宋体" w:eastAsia="宋体" w:cs="宋体"/>
                <w:b/>
                <w:color w:val="auto"/>
                <w:kern w:val="2"/>
                <w:sz w:val="21"/>
                <w:szCs w:val="21"/>
                <w:highlight w:val="none"/>
                <w:shd w:val="clear" w:color="auto" w:fill="FFFFFF"/>
                <w:lang w:val="en-US" w:eastAsia="zh-CN" w:bidi="ar"/>
              </w:rPr>
              <w:t>供应商提供的货物既有中小企业制造货物，也有大型企业制造货物的，不享受中小企业扶持政策</w:t>
            </w:r>
            <w:r>
              <w:rPr>
                <w:rFonts w:hint="eastAsia" w:ascii="宋体" w:hAnsi="宋体" w:eastAsia="宋体" w:cs="宋体"/>
                <w:color w:val="auto"/>
                <w:kern w:val="2"/>
                <w:sz w:val="21"/>
                <w:szCs w:val="21"/>
                <w:highlight w:val="none"/>
                <w:shd w:val="clear" w:color="auto" w:fill="FFFFFF"/>
                <w:lang w:val="en-US" w:eastAsia="zh-CN" w:bidi="ar"/>
              </w:rPr>
              <w:t>。  以联合体形式参加采购活动，联合体各方均为中小企业的，联合体视同中小企业。其中，联合体各方均为小微企业的，联合体视同小微企业。</w:t>
            </w:r>
          </w:p>
          <w:p>
            <w:pPr>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auto"/>
                <w:kern w:val="2"/>
                <w:sz w:val="21"/>
                <w:szCs w:val="21"/>
                <w:highlight w:val="none"/>
                <w:shd w:val="clear" w:color="auto" w:fill="FFFFFF"/>
              </w:rPr>
            </w:pPr>
            <w:r>
              <w:rPr>
                <w:rFonts w:hint="eastAsia" w:ascii="宋体" w:hAnsi="宋体" w:eastAsia="宋体" w:cs="宋体"/>
                <w:color w:val="auto"/>
                <w:kern w:val="2"/>
                <w:sz w:val="21"/>
                <w:szCs w:val="21"/>
                <w:highlight w:val="none"/>
                <w:shd w:val="clear" w:color="auto" w:fill="FFFFFF"/>
                <w:lang w:val="en-US" w:eastAsia="zh-CN" w:bidi="ar"/>
              </w:rPr>
              <w:t>二、监狱企业优惠政策：根据财库【2014】68号文《关于政府采购支持监狱企业发展有关问题的通知》的规定，在采购活动中，监狱企业视同小型、微型企业，享受预留份额、评审中价格扣除等采购促进中小企业发展的采购政策。监狱企业参加采购活动时，应当提供由省级以上监狱管理局、戒毒管理局(含新疆生产建设兵团)出具的属于监狱企业的证明文件，否则不予价格扣除。</w:t>
            </w:r>
          </w:p>
          <w:p>
            <w:pPr>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auto"/>
                <w:kern w:val="2"/>
                <w:sz w:val="21"/>
                <w:szCs w:val="21"/>
                <w:highlight w:val="none"/>
                <w:shd w:val="clear" w:color="auto" w:fill="FFFFFF"/>
              </w:rPr>
            </w:pPr>
            <w:r>
              <w:rPr>
                <w:rFonts w:hint="eastAsia" w:ascii="宋体" w:hAnsi="宋体" w:eastAsia="宋体" w:cs="宋体"/>
                <w:color w:val="auto"/>
                <w:kern w:val="2"/>
                <w:sz w:val="21"/>
                <w:szCs w:val="21"/>
                <w:highlight w:val="none"/>
                <w:shd w:val="clear" w:color="auto" w:fill="FFFFFF"/>
                <w:lang w:val="en-US" w:eastAsia="zh-CN" w:bidi="ar"/>
              </w:rPr>
              <w:t>三、残疾人福利性单位优惠政策：</w:t>
            </w:r>
          </w:p>
          <w:p>
            <w:pPr>
              <w:keepNext w:val="0"/>
              <w:keepLines w:val="0"/>
              <w:widowControl/>
              <w:suppressLineNumbers w:val="0"/>
              <w:spacing w:before="0" w:beforeAutospacing="0" w:after="0" w:afterAutospacing="0"/>
              <w:ind w:left="0" w:right="0" w:firstLine="420" w:firstLineChars="200"/>
              <w:jc w:val="left"/>
              <w:rPr>
                <w:rFonts w:hint="default" w:ascii="宋体" w:hAnsi="宋体" w:eastAsia="宋体" w:cs="宋体"/>
                <w:color w:val="auto"/>
                <w:kern w:val="2"/>
                <w:sz w:val="21"/>
                <w:szCs w:val="21"/>
                <w:highlight w:val="none"/>
                <w:shd w:val="clear" w:color="auto" w:fill="FFFFFF"/>
                <w:lang w:val="en-US"/>
              </w:rPr>
            </w:pPr>
            <w:r>
              <w:rPr>
                <w:rFonts w:hint="eastAsia" w:ascii="宋体" w:hAnsi="宋体" w:eastAsia="宋体" w:cs="宋体"/>
                <w:color w:val="auto"/>
                <w:kern w:val="2"/>
                <w:sz w:val="21"/>
                <w:szCs w:val="21"/>
                <w:highlight w:val="none"/>
                <w:shd w:val="clear" w:color="auto" w:fill="FFFFFF"/>
                <w:lang w:val="en-US" w:eastAsia="zh-CN" w:bidi="ar"/>
              </w:rPr>
              <w:t>（一）根据财政部、民政部、中国残联文件（财库[2017]141号）及福建省财政、福建省民政厅、福建省残疾人联合会联合发布的《关于进一步落实政府采购支持残疾人就业政策的通知》、福建省财政《关于残疾人福利性单位参加政府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小微企业同等比例的扣除（对残疾人福利性单位与其他组织组成联合体参与政府采购活动的，残疾人福利性单位的协议合同金额占总合同金额30%以上的，货物和服务项目对联合体或者大中型企业的报价扣除比例为5%，工程项目对联合体或者大中型企业的报价扣除比例为3%）。</w:t>
            </w:r>
          </w:p>
          <w:p>
            <w:pPr>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auto"/>
                <w:kern w:val="2"/>
                <w:sz w:val="21"/>
                <w:szCs w:val="21"/>
                <w:highlight w:val="none"/>
                <w:shd w:val="clear" w:color="auto" w:fill="FFFFFF"/>
              </w:rPr>
            </w:pPr>
            <w:r>
              <w:rPr>
                <w:rFonts w:hint="eastAsia" w:ascii="宋体" w:hAnsi="宋体" w:eastAsia="宋体" w:cs="宋体"/>
                <w:color w:val="auto"/>
                <w:kern w:val="2"/>
                <w:sz w:val="21"/>
                <w:szCs w:val="21"/>
                <w:highlight w:val="none"/>
                <w:shd w:val="clear" w:color="auto" w:fill="FFFFFF"/>
                <w:lang w:val="en-US" w:eastAsia="zh-CN" w:bidi="ar"/>
              </w:rPr>
              <w:t>（二）残疾人福利性单位参加采购活动时，应当提供《残疾人福利性单位声明函》（格式详见竞争性谈判文件第五章）并加单位公章。残疾人福利性单位属于小型、微型企业的，不重复享受优惠政策。中标、成交供应商为残疾人福利性单位的，采购人或者其委托的采购代理机构应当随中标、成交结果同时公告其《残疾人福利性单位声明函》。</w:t>
            </w:r>
          </w:p>
          <w:p>
            <w:pPr>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auto"/>
                <w:kern w:val="2"/>
                <w:sz w:val="21"/>
                <w:szCs w:val="21"/>
                <w:highlight w:val="none"/>
                <w:shd w:val="clear" w:color="auto" w:fill="FFFFFF"/>
              </w:rPr>
            </w:pPr>
            <w:r>
              <w:rPr>
                <w:rFonts w:hint="eastAsia" w:ascii="宋体" w:hAnsi="宋体" w:eastAsia="宋体" w:cs="宋体"/>
                <w:color w:val="auto"/>
                <w:kern w:val="2"/>
                <w:sz w:val="21"/>
                <w:szCs w:val="21"/>
                <w:highlight w:val="none"/>
                <w:shd w:val="clear" w:color="auto" w:fill="FFFFFF"/>
                <w:lang w:val="en-US" w:eastAsia="zh-CN" w:bidi="ar"/>
              </w:rPr>
              <w:t>（三）根据财库〔2017〕141号文《关于促进残疾人就业政府采购政策的通知》、福建省财政厅政府采购监督管理办公室《关于残疾人福利性单位参加政府 采购活动价格扣除的通知》的规定，残疾人福利性单位应当依法依规参与采购活动，认真审阅采购文件，诚实响应，对于残疾人福利性单位参与货物项目的，在响应文件中写明具体哪些货物是由本单位制造，或者由其他残疾人福利性单位制造（不包括使用非残疾人福利性单位注册商标的货物），并对其进行标注。仅有标明部分的货物才能启动价格扣除。</w:t>
            </w:r>
          </w:p>
          <w:p>
            <w:pPr>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 xml:space="preserve"> </w:t>
            </w:r>
          </w:p>
          <w:p>
            <w:pPr>
              <w:keepNext w:val="0"/>
              <w:keepLines w:val="0"/>
              <w:pageBreakBefore w:val="0"/>
              <w:widowControl/>
              <w:numPr>
                <w:ilvl w:val="0"/>
                <w:numId w:val="0"/>
              </w:numPr>
              <w:kinsoku/>
              <w:wordWrap/>
              <w:overflowPunct/>
              <w:topLinePunct w:val="0"/>
              <w:bidi w:val="0"/>
              <w:snapToGrid/>
              <w:ind w:firstLine="420" w:firstLineChars="200"/>
              <w:jc w:val="left"/>
              <w:outlineLvl w:val="9"/>
              <w:rPr>
                <w:rFonts w:hint="eastAsia" w:ascii="宋体" w:hAnsi="宋体" w:eastAsia="宋体" w:cs="宋体"/>
                <w:color w:val="auto"/>
                <w:szCs w:val="21"/>
                <w:highlight w:val="none"/>
              </w:rPr>
            </w:pPr>
            <w:r>
              <w:rPr>
                <w:rFonts w:hint="eastAsia" w:ascii="宋体" w:hAnsi="宋体" w:eastAsia="宋体" w:cs="宋体"/>
                <w:color w:val="auto"/>
                <w:kern w:val="2"/>
                <w:sz w:val="21"/>
                <w:szCs w:val="21"/>
                <w:highlight w:val="none"/>
                <w:lang w:val="en-US" w:eastAsia="zh-CN" w:bidi="ar"/>
              </w:rPr>
              <w:t>注：谈判文件其他之处存在与此处不一致的，以此处为准。</w:t>
            </w:r>
          </w:p>
        </w:tc>
      </w:tr>
    </w:tbl>
    <w:p>
      <w:pPr>
        <w:numPr>
          <w:ilvl w:val="0"/>
          <w:numId w:val="4"/>
        </w:numPr>
        <w:spacing w:line="500" w:lineRule="exact"/>
        <w:ind w:left="-4" w:leftChars="0" w:firstLine="424" w:firstLineChars="0"/>
        <w:rPr>
          <w:rFonts w:hint="eastAsia" w:ascii="宋体" w:hAnsi="宋体"/>
          <w:color w:val="auto"/>
          <w:szCs w:val="21"/>
          <w:highlight w:val="none"/>
          <w:shd w:val="clear" w:color="auto" w:fill="FFFFFF"/>
        </w:rPr>
      </w:pPr>
      <w:r>
        <w:rPr>
          <w:rFonts w:hint="eastAsia" w:ascii="宋体" w:hAnsi="宋体"/>
          <w:color w:val="auto"/>
          <w:szCs w:val="21"/>
          <w:highlight w:val="none"/>
          <w:shd w:val="clear" w:color="auto" w:fill="FFFFFF"/>
        </w:rPr>
        <w:t>优先类节能产品、环境标志产品：节能(非强制类产品)、减排、环境标志产品评审优惠内容及幅度如下： 若同一</w:t>
      </w:r>
      <w:r>
        <w:rPr>
          <w:rFonts w:hint="eastAsia" w:ascii="宋体" w:hAnsi="宋体"/>
          <w:color w:val="auto"/>
          <w:szCs w:val="21"/>
          <w:highlight w:val="none"/>
          <w:shd w:val="clear" w:color="auto" w:fill="FFFFFF"/>
          <w:lang w:eastAsia="zh-CN"/>
        </w:rPr>
        <w:t>采购包</w:t>
      </w:r>
      <w:r>
        <w:rPr>
          <w:rFonts w:hint="eastAsia" w:ascii="宋体" w:hAnsi="宋体"/>
          <w:color w:val="auto"/>
          <w:szCs w:val="21"/>
          <w:highlight w:val="none"/>
          <w:shd w:val="clear" w:color="auto" w:fill="FFFFFF"/>
        </w:rPr>
        <w:t>内节能、环境标志产品报价总金额低于本</w:t>
      </w:r>
      <w:r>
        <w:rPr>
          <w:rFonts w:hint="eastAsia" w:ascii="宋体" w:hAnsi="宋体"/>
          <w:color w:val="auto"/>
          <w:szCs w:val="21"/>
          <w:highlight w:val="none"/>
          <w:shd w:val="clear" w:color="auto" w:fill="FFFFFF"/>
          <w:lang w:eastAsia="zh-CN"/>
        </w:rPr>
        <w:t>采购包</w:t>
      </w:r>
      <w:r>
        <w:rPr>
          <w:rFonts w:hint="eastAsia" w:ascii="宋体" w:hAnsi="宋体"/>
          <w:color w:val="auto"/>
          <w:szCs w:val="21"/>
          <w:highlight w:val="none"/>
          <w:shd w:val="clear" w:color="auto" w:fill="FFFFFF"/>
        </w:rPr>
        <w:t>报价总金额10%（含10%）以下，将给予节能、环境标志产品每个单项报价3%的价格扣除；若同一</w:t>
      </w:r>
      <w:r>
        <w:rPr>
          <w:rFonts w:hint="eastAsia" w:ascii="宋体" w:hAnsi="宋体"/>
          <w:color w:val="auto"/>
          <w:szCs w:val="21"/>
          <w:highlight w:val="none"/>
          <w:shd w:val="clear" w:color="auto" w:fill="FFFFFF"/>
          <w:lang w:eastAsia="zh-CN"/>
        </w:rPr>
        <w:t>采购包</w:t>
      </w:r>
      <w:r>
        <w:rPr>
          <w:rFonts w:hint="eastAsia" w:ascii="宋体" w:hAnsi="宋体"/>
          <w:color w:val="auto"/>
          <w:szCs w:val="21"/>
          <w:highlight w:val="none"/>
          <w:shd w:val="clear" w:color="auto" w:fill="FFFFFF"/>
        </w:rPr>
        <w:t>内节能、环境标志产品报价总金额占本</w:t>
      </w:r>
      <w:r>
        <w:rPr>
          <w:rFonts w:hint="eastAsia" w:ascii="宋体" w:hAnsi="宋体"/>
          <w:color w:val="auto"/>
          <w:szCs w:val="21"/>
          <w:highlight w:val="none"/>
          <w:shd w:val="clear" w:color="auto" w:fill="FFFFFF"/>
          <w:lang w:eastAsia="zh-CN"/>
        </w:rPr>
        <w:t>采购包</w:t>
      </w:r>
      <w:r>
        <w:rPr>
          <w:rFonts w:hint="eastAsia" w:ascii="宋体" w:hAnsi="宋体"/>
          <w:color w:val="auto"/>
          <w:szCs w:val="21"/>
          <w:highlight w:val="none"/>
          <w:shd w:val="clear" w:color="auto" w:fill="FFFFFF"/>
        </w:rPr>
        <w:t>报价总金额10%-30%（含30%），将给予节能、环境标志产品每个单项报价6%的价格扣除；若同一</w:t>
      </w:r>
      <w:r>
        <w:rPr>
          <w:rFonts w:hint="eastAsia" w:ascii="宋体" w:hAnsi="宋体"/>
          <w:color w:val="auto"/>
          <w:szCs w:val="21"/>
          <w:highlight w:val="none"/>
          <w:shd w:val="clear" w:color="auto" w:fill="FFFFFF"/>
          <w:lang w:eastAsia="zh-CN"/>
        </w:rPr>
        <w:t>采购包</w:t>
      </w:r>
      <w:r>
        <w:rPr>
          <w:rFonts w:hint="eastAsia" w:ascii="宋体" w:hAnsi="宋体"/>
          <w:color w:val="auto"/>
          <w:szCs w:val="21"/>
          <w:highlight w:val="none"/>
          <w:shd w:val="clear" w:color="auto" w:fill="FFFFFF"/>
        </w:rPr>
        <w:t>内节能、环境标志产品报价总金额占本</w:t>
      </w:r>
      <w:r>
        <w:rPr>
          <w:rFonts w:hint="eastAsia" w:ascii="宋体" w:hAnsi="宋体"/>
          <w:color w:val="auto"/>
          <w:szCs w:val="21"/>
          <w:highlight w:val="none"/>
          <w:shd w:val="clear" w:color="auto" w:fill="FFFFFF"/>
          <w:lang w:eastAsia="zh-CN"/>
        </w:rPr>
        <w:t>采购包</w:t>
      </w:r>
      <w:r>
        <w:rPr>
          <w:rFonts w:hint="eastAsia" w:ascii="宋体" w:hAnsi="宋体"/>
          <w:color w:val="auto"/>
          <w:szCs w:val="21"/>
          <w:highlight w:val="none"/>
          <w:shd w:val="clear" w:color="auto" w:fill="FFFFFF"/>
        </w:rPr>
        <w:t>报价总金额30%-50%（含50%），将给予节能、环境标志产品每个单项报价8%的价格扣除；若同一</w:t>
      </w:r>
      <w:r>
        <w:rPr>
          <w:rFonts w:hint="eastAsia" w:ascii="宋体" w:hAnsi="宋体"/>
          <w:color w:val="auto"/>
          <w:szCs w:val="21"/>
          <w:highlight w:val="none"/>
          <w:shd w:val="clear" w:color="auto" w:fill="FFFFFF"/>
          <w:lang w:eastAsia="zh-CN"/>
        </w:rPr>
        <w:t>采购包</w:t>
      </w:r>
      <w:r>
        <w:rPr>
          <w:rFonts w:hint="eastAsia" w:ascii="宋体" w:hAnsi="宋体"/>
          <w:color w:val="auto"/>
          <w:szCs w:val="21"/>
          <w:highlight w:val="none"/>
          <w:shd w:val="clear" w:color="auto" w:fill="FFFFFF"/>
        </w:rPr>
        <w:t>内节能、环境标志产品报价总金额超过本</w:t>
      </w:r>
      <w:r>
        <w:rPr>
          <w:rFonts w:hint="eastAsia" w:ascii="宋体" w:hAnsi="宋体"/>
          <w:color w:val="auto"/>
          <w:szCs w:val="21"/>
          <w:highlight w:val="none"/>
          <w:shd w:val="clear" w:color="auto" w:fill="FFFFFF"/>
          <w:lang w:eastAsia="zh-CN"/>
        </w:rPr>
        <w:t>采购包</w:t>
      </w:r>
      <w:r>
        <w:rPr>
          <w:rFonts w:hint="eastAsia" w:ascii="宋体" w:hAnsi="宋体"/>
          <w:color w:val="auto"/>
          <w:szCs w:val="21"/>
          <w:highlight w:val="none"/>
          <w:shd w:val="clear" w:color="auto" w:fill="FFFFFF"/>
        </w:rPr>
        <w:t>报价总金额50%以上，将给予节能、环境标志产品每个单项报价10%的价格扣除。</w:t>
      </w:r>
    </w:p>
    <w:p>
      <w:pPr>
        <w:numPr>
          <w:ilvl w:val="0"/>
          <w:numId w:val="0"/>
        </w:numPr>
        <w:spacing w:line="500" w:lineRule="exact"/>
        <w:ind w:firstLine="420" w:firstLineChars="200"/>
        <w:rPr>
          <w:rFonts w:hint="eastAsia" w:ascii="宋体" w:hAnsi="宋体" w:cs="微软雅黑"/>
          <w:color w:val="auto"/>
          <w:szCs w:val="21"/>
          <w:highlight w:val="none"/>
        </w:rPr>
      </w:pPr>
      <w:r>
        <w:rPr>
          <w:rFonts w:hint="eastAsia" w:ascii="宋体" w:hAnsi="宋体"/>
          <w:color w:val="auto"/>
          <w:szCs w:val="21"/>
          <w:highlight w:val="none"/>
          <w:shd w:val="clear" w:color="auto" w:fill="FFFFFF"/>
        </w:rPr>
        <w:t>注：在执行优先采购节能产品及环境标志产品制度时，谈判小组将按照财库〔2019〕18号文所附品目清单和财库〔2019〕9号文所附品目清单执行。对于同时列入财政部、环境保护部公示的《环境标志产品政府采购品目清单》和财政部、国家发展改革委公示的《节能产品政府采购品目清单》的产品，应当优先于只获得其中一项认证的产品。 供应商在报价时必须对属于节能、减排、环境标志产品清单内产品单独在价格扣除表中填写，并提供属于清单内产品的证明资料（依据国家确定的认证机构出具的、处于有效期之内的节能产品、环境标志产品认证证书）复印件附在响应文件中。未提供属于清单内产品的证明资料的不给予价格扣除。报价产品属于节能、减排、环境标志清单内产品的，可享受相关的鼓励优惠政策；若节能、减排、环境标志清单内的产品仅是构成报价产品的部件、组件或零件的，则该报价产品不享受鼓励优惠政策。</w:t>
      </w:r>
      <w:r>
        <w:rPr>
          <w:rFonts w:hint="eastAsia" w:ascii="宋体" w:hAnsi="宋体"/>
          <w:color w:val="auto"/>
          <w:szCs w:val="21"/>
          <w:highlight w:val="none"/>
          <w:shd w:val="clear" w:color="auto" w:fill="FFFFFF"/>
          <w:lang w:eastAsia="zh-CN"/>
        </w:rPr>
        <w:t>谈判</w:t>
      </w:r>
      <w:r>
        <w:rPr>
          <w:rFonts w:hint="eastAsia" w:ascii="宋体" w:hAnsi="宋体"/>
          <w:color w:val="auto"/>
          <w:szCs w:val="21"/>
          <w:highlight w:val="none"/>
          <w:shd w:val="clear" w:color="auto" w:fill="FFFFFF"/>
        </w:rPr>
        <w:t>小组审查此项响应性只根据响应文件本身的内容，而不寻求其他的外部证据。</w:t>
      </w:r>
    </w:p>
    <w:p>
      <w:pPr>
        <w:spacing w:line="500" w:lineRule="exact"/>
        <w:ind w:firstLine="424" w:firstLineChars="202"/>
        <w:rPr>
          <w:rFonts w:hint="eastAsia" w:ascii="宋体" w:hAnsi="宋体" w:cs="微软雅黑"/>
          <w:color w:val="auto"/>
          <w:szCs w:val="21"/>
          <w:highlight w:val="none"/>
        </w:rPr>
      </w:pPr>
      <w:r>
        <w:rPr>
          <w:rFonts w:hint="eastAsia" w:ascii="宋体" w:hAnsi="宋体"/>
          <w:color w:val="auto"/>
          <w:szCs w:val="21"/>
          <w:highlight w:val="none"/>
          <w:shd w:val="clear" w:color="auto" w:fill="FFFFFF"/>
        </w:rPr>
        <w:t>c.其他：无。</w:t>
      </w:r>
    </w:p>
    <w:p>
      <w:pPr>
        <w:widowControl/>
        <w:spacing w:line="50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3.1.2合格供应商提交的最后报价按照上文3.1.1款规定的价格扣除规则计算后，得出的价格称为最后报价评审价。</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3.1.3谈判小组将从质量和服务均能满足采购文件实质性响应要求的供应商中，按照最后报价评审价由低到高的顺序提出3名以上成交候选人，并编写评审报告。属于《政府采购非招标采购方式管理办法》等相关法律法规及财政部门颁布的规范性文件允许的两家供应商进行竞争性谈判采购情形，则可以按照最后报价由低到高的顺序提出2名成交候选人。如果成交候选人出现并列相同的最低评审价，则按照以下方式和顺序进行处理：</w:t>
      </w:r>
    </w:p>
    <w:p>
      <w:pPr>
        <w:widowControl/>
        <w:numPr>
          <w:ilvl w:val="0"/>
          <w:numId w:val="5"/>
        </w:numPr>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谈判文件可以约定出现并列最低评审价情形时的优先顺序规则，具体规则为：</w:t>
      </w:r>
    </w:p>
    <w:p>
      <w:pPr>
        <w:spacing w:line="500" w:lineRule="exact"/>
        <w:ind w:firstLine="424" w:firstLineChars="202"/>
        <w:rPr>
          <w:rFonts w:hint="eastAsia" w:ascii="宋体" w:hAnsi="宋体" w:cs="微软雅黑"/>
          <w:color w:val="auto"/>
          <w:szCs w:val="21"/>
          <w:highlight w:val="none"/>
        </w:rPr>
      </w:pPr>
      <w:r>
        <w:rPr>
          <w:rFonts w:hint="eastAsia" w:ascii="宋体" w:hAnsi="宋体"/>
          <w:color w:val="auto"/>
          <w:szCs w:val="21"/>
          <w:highlight w:val="none"/>
          <w:shd w:val="clear" w:color="auto" w:fill="FFFFFF"/>
        </w:rPr>
        <w:t>a.按照最</w:t>
      </w:r>
      <w:r>
        <w:rPr>
          <w:rFonts w:hint="eastAsia" w:ascii="宋体" w:hAnsi="宋体" w:cs="宋体"/>
          <w:color w:val="auto"/>
          <w:kern w:val="0"/>
          <w:szCs w:val="21"/>
          <w:highlight w:val="none"/>
        </w:rPr>
        <w:t>后报价评审价</w:t>
      </w:r>
      <w:r>
        <w:rPr>
          <w:rFonts w:hint="eastAsia" w:ascii="宋体" w:hAnsi="宋体"/>
          <w:color w:val="auto"/>
          <w:szCs w:val="21"/>
          <w:highlight w:val="none"/>
          <w:shd w:val="clear" w:color="auto" w:fill="FFFFFF"/>
        </w:rPr>
        <w:t>（即价格扣除后的最后报价）由低到高顺序排列。</w:t>
      </w:r>
    </w:p>
    <w:p>
      <w:pPr>
        <w:spacing w:line="500" w:lineRule="exact"/>
        <w:ind w:firstLine="424" w:firstLineChars="202"/>
        <w:rPr>
          <w:rFonts w:hint="eastAsia" w:ascii="宋体" w:hAnsi="宋体" w:cs="微软雅黑"/>
          <w:color w:val="auto"/>
          <w:szCs w:val="21"/>
          <w:highlight w:val="none"/>
        </w:rPr>
      </w:pPr>
      <w:r>
        <w:rPr>
          <w:rFonts w:hint="eastAsia" w:ascii="宋体" w:hAnsi="宋体"/>
          <w:color w:val="auto"/>
          <w:szCs w:val="21"/>
          <w:highlight w:val="none"/>
          <w:shd w:val="clear" w:color="auto" w:fill="FFFFFF"/>
        </w:rPr>
        <w:t>b.最</w:t>
      </w:r>
      <w:r>
        <w:rPr>
          <w:rFonts w:hint="eastAsia" w:ascii="宋体" w:hAnsi="宋体" w:cs="宋体"/>
          <w:color w:val="auto"/>
          <w:kern w:val="0"/>
          <w:szCs w:val="21"/>
          <w:highlight w:val="none"/>
        </w:rPr>
        <w:t>后报价评审价</w:t>
      </w:r>
      <w:r>
        <w:rPr>
          <w:rFonts w:hint="eastAsia" w:ascii="宋体" w:hAnsi="宋体"/>
          <w:color w:val="auto"/>
          <w:szCs w:val="21"/>
          <w:highlight w:val="none"/>
          <w:shd w:val="clear" w:color="auto" w:fill="FFFFFF"/>
        </w:rPr>
        <w:t>相同的，按照最</w:t>
      </w:r>
      <w:r>
        <w:rPr>
          <w:rFonts w:hint="eastAsia" w:ascii="宋体" w:hAnsi="宋体" w:cs="宋体"/>
          <w:color w:val="auto"/>
          <w:kern w:val="0"/>
          <w:szCs w:val="21"/>
          <w:highlight w:val="none"/>
        </w:rPr>
        <w:t>后报价</w:t>
      </w:r>
      <w:r>
        <w:rPr>
          <w:rFonts w:hint="eastAsia" w:ascii="宋体" w:hAnsi="宋体"/>
          <w:color w:val="auto"/>
          <w:szCs w:val="21"/>
          <w:highlight w:val="none"/>
          <w:shd w:val="clear" w:color="auto" w:fill="FFFFFF"/>
        </w:rPr>
        <w:t>由低到高顺序排列。</w:t>
      </w:r>
    </w:p>
    <w:p>
      <w:pPr>
        <w:spacing w:line="500" w:lineRule="exact"/>
        <w:ind w:firstLine="424" w:firstLineChars="202"/>
        <w:rPr>
          <w:rFonts w:hint="eastAsia" w:ascii="宋体" w:hAnsi="宋体" w:cs="宋体"/>
          <w:color w:val="auto"/>
          <w:kern w:val="0"/>
          <w:szCs w:val="21"/>
          <w:highlight w:val="none"/>
        </w:rPr>
      </w:pPr>
      <w:r>
        <w:rPr>
          <w:rFonts w:hint="eastAsia" w:ascii="宋体" w:hAnsi="宋体"/>
          <w:color w:val="auto"/>
          <w:szCs w:val="21"/>
          <w:highlight w:val="none"/>
          <w:shd w:val="clear" w:color="auto" w:fill="FFFFFF"/>
        </w:rPr>
        <w:t>c.最后报价评审价</w:t>
      </w:r>
      <w:r>
        <w:rPr>
          <w:rFonts w:hint="eastAsia" w:ascii="宋体" w:hAnsi="宋体"/>
          <w:color w:val="auto"/>
          <w:szCs w:val="21"/>
          <w:highlight w:val="none"/>
          <w:shd w:val="clear" w:color="auto" w:fill="FFFFFF"/>
          <w:lang w:val="en-US" w:eastAsia="zh-CN"/>
        </w:rPr>
        <w:t>及</w:t>
      </w:r>
      <w:r>
        <w:rPr>
          <w:rFonts w:hint="eastAsia" w:ascii="宋体" w:hAnsi="宋体"/>
          <w:color w:val="auto"/>
          <w:szCs w:val="21"/>
          <w:highlight w:val="none"/>
          <w:shd w:val="clear" w:color="auto" w:fill="FFFFFF"/>
        </w:rPr>
        <w:t>最后报价</w:t>
      </w:r>
      <w:r>
        <w:rPr>
          <w:rFonts w:hint="eastAsia" w:ascii="宋体" w:hAnsi="宋体"/>
          <w:color w:val="auto"/>
          <w:szCs w:val="21"/>
          <w:highlight w:val="none"/>
          <w:shd w:val="clear" w:color="auto" w:fill="FFFFFF"/>
          <w:lang w:val="en-US" w:eastAsia="zh-CN"/>
        </w:rPr>
        <w:t>均</w:t>
      </w:r>
      <w:r>
        <w:rPr>
          <w:rFonts w:hint="eastAsia" w:ascii="宋体" w:hAnsi="宋体"/>
          <w:color w:val="auto"/>
          <w:szCs w:val="21"/>
          <w:highlight w:val="none"/>
          <w:shd w:val="clear" w:color="auto" w:fill="FFFFFF"/>
        </w:rPr>
        <w:t>相同的，按照技术指标优劣顺序排列。</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（2）如</w:t>
      </w:r>
      <w:r>
        <w:rPr>
          <w:rFonts w:hint="eastAsia" w:ascii="宋体" w:hAnsi="宋体"/>
          <w:color w:val="auto"/>
          <w:szCs w:val="21"/>
          <w:highlight w:val="none"/>
          <w:shd w:val="clear" w:color="auto" w:fill="FFFFFF"/>
        </w:rPr>
        <w:t>最</w:t>
      </w:r>
      <w:r>
        <w:rPr>
          <w:rFonts w:hint="eastAsia" w:ascii="宋体" w:hAnsi="宋体" w:cs="宋体"/>
          <w:color w:val="auto"/>
          <w:kern w:val="0"/>
          <w:szCs w:val="21"/>
          <w:highlight w:val="none"/>
        </w:rPr>
        <w:t>后报价评审价及</w:t>
      </w:r>
      <w:r>
        <w:rPr>
          <w:rFonts w:hint="eastAsia" w:ascii="宋体" w:hAnsi="宋体"/>
          <w:color w:val="auto"/>
          <w:szCs w:val="21"/>
          <w:highlight w:val="none"/>
          <w:shd w:val="clear" w:color="auto" w:fill="FFFFFF"/>
        </w:rPr>
        <w:t>最</w:t>
      </w:r>
      <w:r>
        <w:rPr>
          <w:rFonts w:hint="eastAsia" w:ascii="宋体" w:hAnsi="宋体" w:cs="宋体"/>
          <w:color w:val="auto"/>
          <w:kern w:val="0"/>
          <w:szCs w:val="21"/>
          <w:highlight w:val="none"/>
        </w:rPr>
        <w:t>后报价均</w:t>
      </w:r>
      <w:r>
        <w:rPr>
          <w:rFonts w:hint="eastAsia" w:ascii="宋体" w:hAnsi="宋体"/>
          <w:color w:val="auto"/>
          <w:szCs w:val="21"/>
          <w:highlight w:val="none"/>
          <w:shd w:val="clear" w:color="auto" w:fill="FFFFFF"/>
        </w:rPr>
        <w:t>相同，且无法按照技术指标优劣顺序排列的，</w:t>
      </w:r>
      <w:r>
        <w:rPr>
          <w:rFonts w:hint="eastAsia" w:ascii="宋体" w:hAnsi="宋体" w:cs="宋体"/>
          <w:color w:val="auto"/>
          <w:kern w:val="0"/>
          <w:szCs w:val="21"/>
          <w:highlight w:val="none"/>
        </w:rPr>
        <w:t>则由谈判小组中的采购人代表从并列最低评审价名单中自行选择确定优先顺序</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（3）采购人代表放弃自行选择确定权利的，则通过随机抽取方式确定优先顺序。</w:t>
      </w:r>
    </w:p>
    <w:p>
      <w:pPr>
        <w:widowControl/>
        <w:spacing w:line="500" w:lineRule="exac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四、评审报告</w:t>
      </w:r>
    </w:p>
    <w:p>
      <w:pPr>
        <w:widowControl/>
        <w:spacing w:line="50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4.1谈判小组完成评审后，应当编写评审报告并提交给采购人。</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4.2评审报告应当包括以下主要内容：</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（一）邀请供应商参加采购活动的具体方式和相关情况，以及参加采购活动的供应商名单；</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（二）评审日期和地点，谈判小组成员名单；</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（三）评审情况记录和说明，包括对供应商的资格审查情况、供应商响应文件评审情况、谈判情况、报价情况等；</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（四）提出的成交候选人的名单及理由。</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4.3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widowControl/>
        <w:spacing w:line="500" w:lineRule="exac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五、其他规定</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5.1其他规定</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5.1.1评审应全程保密且不得透露给任一供应商或与评审工作无关的人员。</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5.1.2评审将进行全程实时录音录像，录音录像资料随采购文件一并存档。</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5.1.3若供应商有任何试图干扰具体评审事务，影响谈判小组独立履行职责的行为，其响应无效且不予退还谈判保证金。情节严重的，由财政部门列入不良行为记录。</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5.1.4根据采购项目的特点和需要，需要加以详细说明的其他谈判程序规定、要求等内容：</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无。</w:t>
      </w:r>
    </w:p>
    <w:p>
      <w:pPr>
        <w:widowControl/>
        <w:spacing w:line="500" w:lineRule="exac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第2节  竞争性谈判须知</w:t>
      </w:r>
    </w:p>
    <w:p>
      <w:pPr>
        <w:widowControl/>
        <w:spacing w:line="500" w:lineRule="exac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一、总则</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1.适用范围：</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1.1适用于谈判文件载明项目的采购活动（以下简称：“本次采购活动”）。</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2.定义及要求：</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2.1“采购标的”指谈判文件载明的需要采购的货物、服务、工程。</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2.2“采购人”指本次采购项目的买方、或业主方、或甲方，具体见谈判文件第一章；“采购代理机构”系指接受采购人委托，组织开展竞争性谈判采购活动的代理机构，具体见谈判文件第一章。</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2.3“潜在供应商”按照谈判文件第一章规定进行报名，且有意向参加本项目响应谈判的供应商。</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2.4“供应商”指按照谈判文件第一章规定进行报名，且已经提交响应文件的法人或其他组织或自然人。只有适合自然人参与和承接的采购项目，供应商才可以是自然人。</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2.5“单位负责人”指单位法定代表人（供应商为法人的）或法律、法规规定代表单位行使职权的主要负责人（供应商为其他组织的）。</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2.6“供应商代表”指供应商（为法人或其他组织的）的单位负责人或由其授权的委托代理人，即单位负责人授权书中载明的接受授权方。供应商为自然人的，由本人签字并附身份证明。</w:t>
      </w:r>
    </w:p>
    <w:p>
      <w:pPr>
        <w:widowControl/>
        <w:spacing w:line="500" w:lineRule="exact"/>
        <w:ind w:firstLine="480"/>
        <w:jc w:val="left"/>
        <w:rPr>
          <w:rFonts w:hint="eastAsia" w:ascii="宋体" w:hAnsi="宋体" w:cs="宋体"/>
          <w:b/>
          <w:bCs/>
          <w:color w:val="auto"/>
          <w:kern w:val="0"/>
          <w:szCs w:val="21"/>
          <w:highlight w:val="none"/>
        </w:rPr>
      </w:pPr>
      <w:r>
        <w:rPr>
          <w:rFonts w:hint="eastAsia" w:ascii="宋体" w:hAnsi="宋体" w:cs="宋体"/>
          <w:b/>
          <w:bCs/>
          <w:color w:val="auto"/>
          <w:kern w:val="0"/>
          <w:szCs w:val="21"/>
          <w:highlight w:val="none"/>
          <w:lang w:val="en-US" w:eastAsia="zh-CN"/>
        </w:rPr>
        <w:t>2.7谈判文件中提及的相关法规政策、规范性文件、标准及相关要求等，若存在已被依法正式替换、废止等情况或与最新更新的权威规定、标准有冲突的，以最新的相关规定标准为准。</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3.合格的供应商：</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3.1一般规定</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3.1.1供应商应当遵守中国的有关法律、法规和规章的规定，参加采购活动时已经自觉检查并按照采购相关法律规定，主动回避相应利害关系。</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3.1.2为采购项目提供整体设计、规范编制或项目管理、监理、检测等服务的供应商，不得再参加该采购项目除整体设计、规范编制和项目管理、监理、检测等服务之外的其他采购活动</w:t>
      </w:r>
      <w:r>
        <w:rPr>
          <w:rFonts w:hint="eastAsia" w:ascii="宋体" w:hAnsi="宋体" w:cs="宋体"/>
          <w:b/>
          <w:bCs/>
          <w:color w:val="auto"/>
          <w:kern w:val="0"/>
          <w:szCs w:val="21"/>
          <w:highlight w:val="none"/>
        </w:rPr>
        <w:t>。</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3.1.3列入失信被执行人、重大税收违法案件当事人名单、政府采购严重违法失信行为记录名单及其他不符合《中华人民共和国政府采购法》第二十二条规定条件的供应商，不得参加采购活动</w:t>
      </w:r>
      <w:r>
        <w:rPr>
          <w:rFonts w:hint="eastAsia" w:ascii="宋体" w:hAnsi="宋体" w:cs="宋体"/>
          <w:b/>
          <w:bCs/>
          <w:color w:val="auto"/>
          <w:kern w:val="0"/>
          <w:szCs w:val="21"/>
          <w:highlight w:val="none"/>
        </w:rPr>
        <w:t>。</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供应商有责任检查自身情况，在响应文件中对是否违反以上一般规定做出如实</w:t>
      </w:r>
      <w:r>
        <w:rPr>
          <w:rFonts w:hint="eastAsia" w:ascii="宋体" w:hAnsi="宋体" w:cs="宋体"/>
          <w:b/>
          <w:bCs/>
          <w:color w:val="auto"/>
          <w:kern w:val="0"/>
          <w:szCs w:val="21"/>
          <w:highlight w:val="none"/>
          <w:lang w:eastAsia="zh-CN"/>
        </w:rPr>
        <w:t>响应</w:t>
      </w:r>
      <w:r>
        <w:rPr>
          <w:rFonts w:hint="eastAsia" w:ascii="宋体" w:hAnsi="宋体" w:cs="宋体"/>
          <w:b/>
          <w:bCs/>
          <w:color w:val="auto"/>
          <w:kern w:val="0"/>
          <w:szCs w:val="21"/>
          <w:highlight w:val="none"/>
        </w:rPr>
        <w:t>，否则其响应文件将被否决。</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3.2特别规定</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3.2.1供应商的资格要求：详见竞争性谈判须知前附表。</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3.2.2是否接受联合体形式的响应谈判：详见竞争性谈判须知前附表。若接受联合体形式且供应商为联合体，则联合体各方除了应遵守本章第3.1条规定外，还应遵守下列规定：</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（1）联合体各方应提交联合体协议，联合体协议应符合谈判文件规定。</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（2）联合体各方不得再单独参加或与其他供应商另外组成联合体参加同一合同项下的响应谈判。</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（3）联合体各方应共同与采购人签订采购合同，就采购合同约定的事项对采购人承担连带责任。</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3.2.3若接受联合体形式，单位负责人为同一人或者存在直接控股、管理关系的不同供应商可以组成一个联合体，以一个供应商的身份参加采购活动。若不接受联合体形式，则单位负责人为同一人或者存在直接控股、管理关系的不同供应商，不得参加同一合同项下的采购活动。</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4 参与竞争性谈判费用：</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4.1除法律法规或采购文件另有规定之外，供应商应自行承担其准备与参加竞争性谈判所涉及的一切费用。</w:t>
      </w:r>
    </w:p>
    <w:p>
      <w:pPr>
        <w:widowControl/>
        <w:spacing w:line="500" w:lineRule="exac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二、竞争性谈判文件</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5 竞争性谈判文件的组成：</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5.1竞争性谈判文件由下述部分组成：</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第一章 采购公告（或采购邀请书）</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第二章 竞争性谈判须知</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第三章 采购内容及要求</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第四章 合同主要条款及格式</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第五章 首次响应文件格式</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5.2除上述内容以外，采购人、采购代理机构或者谈判小组在采购过程期间对谈判文件所作的澄清、修改或补充，均构成谈判文件的组成部分，对采购人和供应商具有约束力。</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6 竞争性谈判文件的澄清、补充或修改：</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6.1提交首次响应文件截止之日前，采购人、采购代理机构或者谈判小组可以对已发出的谈判文件进行必要的澄清、补充或者修改，澄清、补充或者修改的内容作为谈判文件的组成部分。澄清、补充或者修改的内容可能影响响应文件编制的，采购人、采购代理机构或者谈判小组将在提交首次响应文件截止时间3个工作日前，以书面形式通知所有获取谈判文件的潜在供应商，不足3个工作日的，采购人、采购代理机构或谈判小组将顺延提交首次响应文件的截止时间。</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6.2提交首次响应文件截止时间前，若采购人发布更正公告，则更正公告及其所发布的内容或信息（包括但不限于竞争性谈判文件的澄清、补充或修改等）作为谈判文件组成部分，对采购人和供应商具有约束力。更正公告作为采购人、采购代理机构或谈判小组通知所有潜在供应商的书面形式，潜在供应商务必随时关注谈判文件中载明的指定媒体，以免遗漏。</w:t>
      </w:r>
    </w:p>
    <w:p>
      <w:pPr>
        <w:widowControl/>
        <w:spacing w:line="500" w:lineRule="exac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三、响应文件编制</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 xml:space="preserve">    7.应标要求</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7.1供应商可按照</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号，对竞争性谈判文件中载明的全部或部分</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进行响应。对于能够详细列明采购标的技术、服务要求的采购项目，供应商响应时，对同一个</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内所有的采购内容和要求必须进行完整响应，</w:t>
      </w:r>
      <w:r>
        <w:rPr>
          <w:rFonts w:hint="eastAsia" w:ascii="宋体" w:hAnsi="宋体" w:cs="宋体"/>
          <w:b/>
          <w:bCs/>
          <w:color w:val="auto"/>
          <w:kern w:val="0"/>
          <w:szCs w:val="21"/>
          <w:highlight w:val="none"/>
        </w:rPr>
        <w:t>否则其相应</w:t>
      </w:r>
      <w:r>
        <w:rPr>
          <w:rFonts w:hint="eastAsia" w:ascii="宋体" w:hAnsi="宋体" w:cs="宋体"/>
          <w:b/>
          <w:bCs/>
          <w:color w:val="auto"/>
          <w:kern w:val="0"/>
          <w:szCs w:val="21"/>
          <w:highlight w:val="none"/>
          <w:lang w:eastAsia="zh-CN"/>
        </w:rPr>
        <w:t>采购包</w:t>
      </w:r>
      <w:r>
        <w:rPr>
          <w:rFonts w:hint="eastAsia" w:ascii="宋体" w:hAnsi="宋体" w:cs="宋体"/>
          <w:b/>
          <w:bCs/>
          <w:color w:val="auto"/>
          <w:kern w:val="0"/>
          <w:szCs w:val="21"/>
          <w:highlight w:val="none"/>
        </w:rPr>
        <w:t>的响应文件将被否决。</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7.2供应商代表在同一个合同项下只能接受一个供应商的委托参加响应谈判，</w:t>
      </w:r>
      <w:r>
        <w:rPr>
          <w:rFonts w:hint="eastAsia" w:ascii="宋体" w:hAnsi="宋体" w:cs="宋体"/>
          <w:b/>
          <w:bCs/>
          <w:color w:val="auto"/>
          <w:kern w:val="0"/>
          <w:szCs w:val="21"/>
          <w:highlight w:val="none"/>
        </w:rPr>
        <w:t>否则其响应文件将被否决。</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7.3供应商应仔细阅读谈判文件的所有内容和要求，按谈判文件的规定提供响应文件，并对其所提供的全部资料、承诺和声明的真实性、合法性和准确性负责。</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7.4除非竞争性谈判须知前附表另有规定外，供应商提供的响应文件应使用中文文本，若有不同文字文本，以中文文本为准。</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7.5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7.6除非竞争性谈判须知前附表另有规定外，供应商承诺的报价应以人民币进行报价，合同实施结算时亦以人民币支付；所有计量均采用中华人民共和国法定计量单位。</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8.首次响应文件的组成：</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8.1首次响应文件包括但不限于下列部分：</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（1）谈判响应声明（投标函）</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（2）报价一览表（含详细报价书）</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（3）资格证明文件</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（4）谈判保证金凭证</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（5）技术和商务偏离表</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（6）相关技术、商务、服务响应承诺及资料</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（7）供应商提交符合政府采购政策的证明材料</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（8）要求作为响应文件组成部分的其他内容（若有）</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9.响应文件有效期：</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9.1响应文件有效期见竞争性谈判须知前附表，响应文件承诺的有效期不得少于谈判文件载明的有效期，</w:t>
      </w:r>
      <w:r>
        <w:rPr>
          <w:rFonts w:hint="eastAsia" w:ascii="宋体" w:hAnsi="宋体" w:cs="宋体"/>
          <w:b/>
          <w:bCs/>
          <w:color w:val="auto"/>
          <w:kern w:val="0"/>
          <w:szCs w:val="21"/>
          <w:highlight w:val="none"/>
        </w:rPr>
        <w:t>否则其响应文件将被否决。</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9.2特殊情况下采购人可于响应文件有效期满之前要求供应商同意延长有效期，要求与答复均应为书面形式。供应商可以拒绝延长有效期，且其谈判保证金可以退还，但其供应商资格将被取消。同意延长有效期的供应商，不需要也不允许修改其响应文件及谈判承诺，但将要求其相应延长谈判保证金有效期，有关退还和不予退还谈判保证金的规定在有效期延长期内继续有效。</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10.谈判保证金：</w:t>
      </w:r>
    </w:p>
    <w:p>
      <w:pPr>
        <w:widowControl/>
        <w:spacing w:line="500" w:lineRule="exact"/>
        <w:ind w:firstLine="210" w:firstLineChars="1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10.1供应商应在参加竞争性谈判之前按竞争性谈判须知前附表规定的金额、形式等要求提交谈判保证金。谈判文件若接受联合体形式且供应商为联合体的，则由联合体中的牵头方负责提交谈判保证金，其提交的谈判保证金对联合体各方均具有约束力。</w:t>
      </w:r>
    </w:p>
    <w:p>
      <w:pPr>
        <w:widowControl/>
        <w:spacing w:line="500" w:lineRule="exact"/>
        <w:ind w:firstLine="105" w:firstLineChars="5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10.2谈判保证金为响应文件的重要组成部分之一。谈判保证金用于保护本次谈判活动免受供应商的违约或失信行为而引起的风险。未按规定提交谈判保证金的，</w:t>
      </w:r>
      <w:r>
        <w:rPr>
          <w:rFonts w:hint="eastAsia" w:ascii="宋体" w:hAnsi="宋体" w:cs="宋体"/>
          <w:b/>
          <w:bCs/>
          <w:color w:val="auto"/>
          <w:kern w:val="0"/>
          <w:szCs w:val="21"/>
          <w:highlight w:val="none"/>
        </w:rPr>
        <w:t>其响应文件将被否决。</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10.3谈判保证金退还：</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10.3.1采购人或者采购代理机构将在采购活动结束后及时退还供应商的保证金，但因供应商自身原因导致无法及时退还的除外（比如：采购人委托代理机构组织谈判采购，成交的供应商未向采购代理机构出具已签订合同证明材料，造成谈判保证金退还时间延误的结果，由成交的供应商自行承担和谅解等）。未成交供应商的保证金将在成交通知书发出后5个工作日内退还，成交供应商的保证金将在采购合同签订后5个工作日内退还。成交人需将与采购人签订的合同原件递送或邮寄至我司，以便我司退保工作的顺利进行（未按以上要求申请办理，或合同邮寄过程丢失，责任供应商自负）。关于谈判保证金退还的其它要求见竞争性谈判须知前附表。</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10.3.2质疑或投诉涉及的供应商，若其谈判保证金尚未退还，则待质疑或投诉处理完毕后，且没有发生法律法规或者谈判文件规定的不予退还谈判保证金情形，则由采购人或采购代理机构给予及时退还。</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10.4如果供应商发生以下任何一种情况时，其谈判保证金将被不予退还：</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(1)供应商在提交响应文件截止时间后撤回响应文件的；</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(2)供应商在响应文件中提供虚假材料的；</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(3)除因不可抗力或谈判文件认可的情形以外，成交供应商不与采购人签订合同的；</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(4)供应商与采购人、其他供应商或者采购代理机构恶意串通的；</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(5)供应商在提交最后报价后要求退出谈判的；</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(6)供应商假借以他人名义参加谈判或者以其他方式弄虚作假，骗取成交；</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(7)国家法律法规以及谈判文件中规定的其他谈判保证金不予退还的情形。</w:t>
      </w:r>
    </w:p>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上述不予退还谈判保证金的情况不能抵偿给采购人或采购代理机构造成损失的，供应商还要承担赔偿责任。</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11.纸质响应文件基本编制要求：</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11.1供应商须编制由本须知规定组成的响应文件正副本份数详见竞争性谈判须知前附表。响应文件正本和全部副本均应使用不能擦去的墨料或墨水打印、书写或复印，副本可以用正本的完整复印件。响应文件封面上应标明“正本”、“副本”字样。正本与副本内容如有不一致，则以正本为准。</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11.2响应文件应由供应商代表签字并加盖公章。供应商代表如果不是竞争性谈判须知中定义的“单位负责人”，则其响应文件中还必须提供“单位负责人授权书”，未提供则视为资格审查不通过。</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11.3响应文件应尽量避免涂改、行间插字或删除。如果出现上述情况，改动之处应加盖供应商单位公章或由供应商代表签字确认。</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11.4供应商应提交证明其拟提供货物、服务或工程符合谈判文件要求的技术和商务响应文件，该文件可以是文字资料、图纸和数据，并对拟提供的货物、服务或工程的主要内容进行详细描述。</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12.纸质响应文件的密封、标识、签署和提交。</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12.1供应商应当将响应文件密封包装提交，并在外封套上标识项目名称、项目编号、供应商单位名称以及“于       之前（指首次响应文件递交截止日期及时间）不准启封响应文件”的字样；采用邮寄方式提交响应文件的，其外包装上也必须按前文要求做好标识内容和字样，且供应商还应当主动向采购人或采购代理机构确认邮件收递情况。由于供应商未按照要求对其提交的响应文件进行密封、标识、邮寄确认等，由此可能产生的后果（包括拒收、误放、遗漏或提前拆封等情形），将由供应商自行承担相应结果，采购人或采购代理机构不承担责任。</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12.2供应商应当在谈判文件规定的提交响应文件截止时间前，将首次响应文件密封送达谈判文件规定的指定地点。在截止时间后送达的首次响应文件为无效文件，采购人、采购代理机构或者谈判小组将不予接收。</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12.3供应商在首次响应文件递交截止时间前，可以对其所提交的响应文件进行补充、修改或者撤回，并书面通知采购人、采购代理机构或谈判小组。补充、修改的内容作为响应文件的组成部分。补充、修改的内容与响应文件不一致的，以补充、修改的内容为准。供应商在提交响应文件截止时间前提交的补充、修改或者撤回申请要求，应当以原件书面形式并由供应商代表签署（供应商代表如果不是竞争性谈判须知中定义的“单位负责人”，则还必须提供“单位负责人授权书”），或者加盖供应商单位公章方可生效，否则采购人、采购代理机构或谈判小组将视为无效补充、修改或者撤回。采购人、采购代理机构或谈判小组不接受供应商口头、电话、传真或电子邮件形式提交的补充、修改或者撤回。</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12.4供应商在谈判过程中根据谈判小组要求，提交的有关澄清、说明、补充、更正响应文件以及最后报价响应文件等资料，均应由供应商代表签署（供应商代表如果不是竞争性谈判须知中定义的“单位负责人”，则还必须提供“单位负责人授权书”），或者加盖供应商单位公章。</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12.5除《政府采购非招标采购方式管理办法》等相关法律法规及财政部门颁布的规范性文件允许的两家供应商进行竞争性谈判采购情形外，首次响应文件递交截止时间后，提交响应文件的供应商不足三家的，本次竞争性谈判活动终止，除采购任务取消情形外，采购人将依法重新组织采购或者采取其他方式采购。</w:t>
      </w:r>
    </w:p>
    <w:p>
      <w:pPr>
        <w:widowControl/>
        <w:spacing w:line="500" w:lineRule="exac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四、竞争性谈判</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13.评审和谈判基本准则</w:t>
      </w:r>
    </w:p>
    <w:p>
      <w:pPr>
        <w:widowControl/>
        <w:spacing w:line="500" w:lineRule="exact"/>
        <w:ind w:firstLine="525" w:firstLineChars="25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13.1对所有供应商的评审和谈判，都采用相同的程序和标准。</w:t>
      </w:r>
    </w:p>
    <w:p>
      <w:pPr>
        <w:widowControl/>
        <w:spacing w:line="500" w:lineRule="exact"/>
        <w:ind w:firstLine="210" w:firstLineChars="1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13.2谈判及评审过程将严格按照谈判文件的要求和条件进行，谈判小组将根据供应商的响应文件，按谈判文件规定的谈判程序和评定成交标准进行评审和谈判，并推荐成交候选人。</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14.谈判程序以及评定成交标准</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14.1采购人将根据项目的特点依法组建谈判小组。谈判小组将根据谈判文件规定的程序、评定成交标准等内容对供应商进行评审、谈判。</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14.2在进入谈判阶段之前，谈判小组将对供应商提交的首次响应文件中资格证明文件以及其他响应文件是否对谈判文件的要求作出实质性响应进行审查。如果供应商资格审查和实质性响应审查不合格，则其响应文件将被谈判小组否决，按无效处理，不进入谈判阶段，谈判小组将告知有关供应商。</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14.2.1供应商有下列情况之一者，其提交的响应文件将被视为未实质性响应谈判文件要求，谈判小组将否决其响应文件，按无效</w:t>
      </w:r>
      <w:r>
        <w:rPr>
          <w:rFonts w:hint="eastAsia" w:ascii="宋体" w:hAnsi="宋体" w:cs="宋体"/>
          <w:color w:val="auto"/>
          <w:kern w:val="0"/>
          <w:szCs w:val="21"/>
          <w:highlight w:val="none"/>
          <w:lang w:val="en-US" w:eastAsia="zh-CN"/>
        </w:rPr>
        <w:t>响应</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投标）</w:t>
      </w:r>
      <w:r>
        <w:rPr>
          <w:rFonts w:hint="eastAsia" w:ascii="宋体" w:hAnsi="宋体" w:cs="宋体"/>
          <w:color w:val="auto"/>
          <w:kern w:val="0"/>
          <w:szCs w:val="21"/>
          <w:highlight w:val="none"/>
        </w:rPr>
        <w:t>处理：</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(1)响应文件中提供的资格证明文件不全的</w:t>
      </w:r>
      <w:r>
        <w:rPr>
          <w:rFonts w:hint="eastAsia" w:ascii="宋体" w:hAnsi="宋体" w:cs="宋体"/>
          <w:color w:val="auto"/>
          <w:kern w:val="0"/>
          <w:szCs w:val="21"/>
          <w:highlight w:val="none"/>
          <w:lang w:eastAsia="zh-CN"/>
        </w:rPr>
        <w:t>，或不满足资格要求</w:t>
      </w:r>
      <w:r>
        <w:rPr>
          <w:rFonts w:hint="eastAsia" w:ascii="宋体" w:hAnsi="宋体" w:cs="宋体"/>
          <w:color w:val="auto"/>
          <w:kern w:val="0"/>
          <w:szCs w:val="21"/>
          <w:highlight w:val="none"/>
        </w:rPr>
        <w:t>；</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(2)响应文件未按谈判文件规定由供应商代表签字，或未按谈判文件规定加盖供应商单位公章的；或供应商代表未获得有效授权的；</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(3)供应商未按谈判文件规定提交谈判保证金的；</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(4)响应文件有效期不满足谈判文件要求的；</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(5)响应内容与谈判采购内容及要求有重大偏离或保留的，限制了采购人的权利或者减少成交供应商合同项下的义务；（由于谈判项目本身特点，不能详细列明采购标的的技术、服务要求的除外）；</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(6)响应文件中附有采购人无法接受的条件的；</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(7)不符合谈判文件中规定的其它实质性条款（含：报价超过了谈判文件规定的最高限价）。</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    14.2.2其他情形</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包：1</w:t>
      </w:r>
    </w:p>
    <w:tbl>
      <w:tblPr>
        <w:tblStyle w:val="18"/>
        <w:tblW w:w="9780"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78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16" w:hRule="atLeast"/>
          <w:tblHeader/>
          <w:tblCellSpacing w:w="0" w:type="dxa"/>
        </w:trPr>
        <w:tc>
          <w:tcPr>
            <w:tcW w:w="9780"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明细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02" w:hRule="atLeast"/>
          <w:tblCellSpacing w:w="0" w:type="dxa"/>
        </w:trPr>
        <w:tc>
          <w:tcPr>
            <w:tcW w:w="9780"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交付</w:t>
            </w:r>
            <w:r>
              <w:rPr>
                <w:rFonts w:hint="eastAsia" w:ascii="宋体" w:hAnsi="宋体" w:cs="宋体"/>
                <w:color w:val="auto"/>
                <w:kern w:val="0"/>
                <w:szCs w:val="21"/>
                <w:highlight w:val="none"/>
              </w:rPr>
              <w:t>时间、交付条件、支付方式和</w:t>
            </w:r>
            <w:r>
              <w:rPr>
                <w:rFonts w:hint="eastAsia" w:ascii="宋体" w:hAnsi="宋体" w:cs="宋体"/>
                <w:color w:val="auto"/>
                <w:kern w:val="0"/>
                <w:szCs w:val="21"/>
                <w:highlight w:val="none"/>
                <w:lang w:val="en-US" w:eastAsia="zh-CN"/>
              </w:rPr>
              <w:t>服务期限</w:t>
            </w:r>
            <w:r>
              <w:rPr>
                <w:rFonts w:hint="eastAsia" w:ascii="宋体" w:hAnsi="宋体" w:cs="宋体"/>
                <w:color w:val="auto"/>
                <w:kern w:val="0"/>
                <w:szCs w:val="21"/>
                <w:highlight w:val="none"/>
              </w:rPr>
              <w:t>等商务条件不满足谈判文件要求的。</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02" w:hRule="atLeast"/>
          <w:tblCellSpacing w:w="0" w:type="dxa"/>
        </w:trPr>
        <w:tc>
          <w:tcPr>
            <w:tcW w:w="9780"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第三章《采购内容及要求》有任一项负偏离的。</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02" w:hRule="atLeast"/>
          <w:tblCellSpacing w:w="0" w:type="dxa"/>
        </w:trPr>
        <w:tc>
          <w:tcPr>
            <w:tcW w:w="9780"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虚假承诺、声明</w:t>
            </w:r>
            <w:r>
              <w:rPr>
                <w:rFonts w:hint="eastAsia" w:ascii="宋体" w:hAnsi="宋体" w:cs="宋体"/>
                <w:color w:val="auto"/>
                <w:kern w:val="0"/>
                <w:szCs w:val="21"/>
                <w:highlight w:val="none"/>
                <w:lang w:eastAsia="zh-CN"/>
              </w:rPr>
              <w:t>、响应</w:t>
            </w:r>
            <w:r>
              <w:rPr>
                <w:rFonts w:hint="eastAsia" w:ascii="宋体" w:hAnsi="宋体" w:cs="宋体"/>
                <w:color w:val="auto"/>
                <w:kern w:val="0"/>
                <w:szCs w:val="21"/>
                <w:highlight w:val="none"/>
              </w:rPr>
              <w:t>或提交其他虚假材料等。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75" w:hRule="atLeast"/>
          <w:tblCellSpacing w:w="0" w:type="dxa"/>
        </w:trPr>
        <w:tc>
          <w:tcPr>
            <w:tcW w:w="9780"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除</w:t>
            </w:r>
            <w:r>
              <w:rPr>
                <w:rFonts w:hint="eastAsia" w:ascii="宋体" w:hAnsi="宋体" w:cs="宋体"/>
                <w:color w:val="auto"/>
                <w:kern w:val="0"/>
                <w:szCs w:val="21"/>
                <w:highlight w:val="none"/>
                <w:lang w:eastAsia="zh-CN"/>
              </w:rPr>
              <w:t>竞争性谈判</w:t>
            </w:r>
            <w:r>
              <w:rPr>
                <w:rFonts w:hint="eastAsia" w:ascii="宋体" w:hAnsi="宋体" w:cs="宋体"/>
                <w:color w:val="auto"/>
                <w:kern w:val="0"/>
                <w:szCs w:val="21"/>
                <w:highlight w:val="none"/>
              </w:rPr>
              <w:t>另有规定外，若出现有关法律、法规和规章有强制性规定但</w:t>
            </w:r>
            <w:r>
              <w:rPr>
                <w:rFonts w:hint="eastAsia" w:ascii="宋体" w:hAnsi="宋体" w:cs="宋体"/>
                <w:color w:val="auto"/>
                <w:kern w:val="0"/>
                <w:szCs w:val="21"/>
                <w:highlight w:val="none"/>
                <w:lang w:eastAsia="zh-CN"/>
              </w:rPr>
              <w:t>竞争性谈判</w:t>
            </w:r>
            <w:r>
              <w:rPr>
                <w:rFonts w:hint="eastAsia" w:ascii="宋体" w:hAnsi="宋体" w:cs="宋体"/>
                <w:color w:val="auto"/>
                <w:kern w:val="0"/>
                <w:szCs w:val="21"/>
                <w:highlight w:val="none"/>
              </w:rPr>
              <w:t>未列明的情形，</w:t>
            </w:r>
            <w:r>
              <w:rPr>
                <w:rFonts w:hint="eastAsia" w:ascii="宋体" w:hAnsi="宋体" w:cs="宋体"/>
                <w:color w:val="auto"/>
                <w:kern w:val="0"/>
                <w:szCs w:val="21"/>
                <w:highlight w:val="none"/>
                <w:lang w:eastAsia="zh-CN"/>
              </w:rPr>
              <w:t>供应商未</w:t>
            </w:r>
            <w:r>
              <w:rPr>
                <w:rFonts w:hint="eastAsia" w:ascii="宋体" w:hAnsi="宋体" w:cs="宋体"/>
                <w:color w:val="auto"/>
                <w:kern w:val="0"/>
                <w:szCs w:val="21"/>
                <w:highlight w:val="none"/>
              </w:rPr>
              <w:t>按照有关法律、法规和规章强制性规定执行。</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16" w:hRule="atLeast"/>
          <w:tblCellSpacing w:w="0" w:type="dxa"/>
        </w:trPr>
        <w:tc>
          <w:tcPr>
            <w:tcW w:w="9780" w:type="dxa"/>
            <w:tcBorders>
              <w:top w:val="outset" w:color="auto" w:sz="6" w:space="0"/>
              <w:left w:val="outset" w:color="auto" w:sz="6" w:space="0"/>
              <w:bottom w:val="outset" w:color="auto" w:sz="6" w:space="0"/>
              <w:right w:val="outset" w:color="auto" w:sz="6" w:space="0"/>
            </w:tcBorders>
            <w:noWrap w:val="0"/>
            <w:vAlign w:val="center"/>
          </w:tcPr>
          <w:p>
            <w:pPr>
              <w:widowControl/>
              <w:spacing w:line="50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不符合谈判文件中规定的其它实质性条款。</w:t>
            </w:r>
          </w:p>
        </w:tc>
      </w:tr>
    </w:tbl>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谈判小组决定供应商的响应性只根据响应文件本身的内容，而不寻求其他的外部证据。</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14.3谈判小组在对供应商进行响应文件资格审查、实质响应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谈判小组要求供应商澄清、说明或者更正响应文件应当以书面形式作出。</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14.4只有资格审查和实质性响应审查合格的供应商才能进入谈判阶段。谈判小组所有成员将集中与单一供应商分别进行谈判，并给予所有参加谈判的合格供应商平等的谈判机会。谈判过程中，谈判小组可以根据谈判文件和谈判情况实质性变动采购需求中的技术、服务要求以及合同草案条款，但不得变动竞争性谈判文件中的其他内容。实质性变动的内容，须经采购人代表确认。谈判过程中对谈判文件作出的实质性变动是谈判文件的有效组成部分，谈判小组将及时以书面形式同时通知所有参加谈判的供应商。根据采购项目的特点和需要，在谈判过程中可能发生实质性变动的内容详见竞争性谈判须知前附表。</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14.5合格供应商应当按照谈判文件的变动情况和谈判小组的要求提交补充响应文件（首次响应文件中已经提交过的如资格证明文件等资料，不用重新提供），并由供应商代表签字或加盖供应商单位公章。供应商代表如果不是竞争性谈判须知中定义的“单位负责人”，则还必须提供“单位负责人授权书”。供应商为自然人的，应当由本人签字并附身份证明。</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14.6谈判文件能够详细列明采购标的的技术、服务要求的，谈判结束后，谈判小组应当要求所有继续参加谈判的供应商在规定时间内提交最后报价。属于《政府采购非招标采购方式管理办法》等相关法律法规及财政部门颁布的规范性文件允许的两家供应商进行竞争性谈判采购情形，则提交最后报价的供应商可以为2家。</w:t>
      </w:r>
    </w:p>
    <w:p>
      <w:pPr>
        <w:widowControl/>
        <w:spacing w:line="500" w:lineRule="exact"/>
        <w:ind w:firstLine="525" w:firstLineChars="25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14.7谈判文件不能详细列明采购标的的技术、服务要求，需经谈判由供应商提供最终设计方案或解决方案的，谈判结束后，谈判小组应当按照少数服从多数的原则投票推荐3家以上供应商的设计方案或者解决方案，具体推荐数量和投票细则等内容按照“竞争性谈判须知前附表”中专项附件：“评定成交的标准和方法”的相关条款规定执行，并要求其在规定时间内提交最后报价。属于《政府采购非招标采购方式管理办法》等相关法律法规及财政部门颁布的规范性文件允许的两家供应商进行竞争性谈判采购情形，则提交最后报价的供应商可以为2家。</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14.8最后报价是供应商响应文件的有效组成部分。如果供应商的最后报价明显低于其他最后报价，使得其最后报价有可能影响商品或服务质量或者不能诚信履约的，供应商应当按照谈判小组要求，在规定时间内作出书面说明，必要时提交相关证明材料；供应商不能合理说明其报价合理性的，谈判小组可以做无效响应文件和无效报价处理。</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14.9谈判小组将从质量和服务均能满足采购文件实质性响应要求的供应商中，按照评审价由低到高的顺序提出3名以上成交候选人，并编写评审报告。属于《政府采购非招标采购方式管理办法》等相关法律法规及财政部门颁布的规范性文件允许的两家供应商进行竞争性谈判采购情形，则可以按照最后报价由低到高的顺序提出2名成交候选人。如果成交候选人出现并列相同的最低评审价，则相应处理方式按照“竞争性谈判须知前附表”中专项附件：“评定成交的标准和方法”的相关条款规定执行。</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14.10供应商提交的响应文件和资料将给予保密，但不退回（有关证件或证照的原件除外）。</w:t>
      </w:r>
    </w:p>
    <w:p>
      <w:pPr>
        <w:widowControl/>
        <w:spacing w:line="500" w:lineRule="exac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五、合同授予</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15.授予合同的准则：</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15.1除不可抗力等因素外，合同将授予响应文件符合竞争性谈判文件要求，能够圆满地履行合同，且被谈判小组推荐为第一成交候选人的供应商。</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15.2 采购合同履行中，采购人需追加与合同标的相同的货物、工程或者服务的，在不改变合同其他条款的前提下，可以与成交供应商协商签订补充合同，但所有补充合同的采购金额不得超过原合同采购金额的百分之十。</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15.3为维护国家利益和社会公共利益，最低报价不是被授予合同的绝对保证。</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16.确定成交供应在商：</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16.1采购人委托代理机构组织竞争性谈判采购活动的，采购代理机构在评审结束后2个工作日内将评审报告送采购人确认。</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16.2采购人在收到评审报告后5个工作日内，从评审报告提出的成交候选人中，根据质量和服务均能满足采购文件实质性响应要求且最后报价评审价最低的原则确定成交供应商，也可以书面授权谈判小组直接确定成交供应商。采购人逾期未确定成交供应商且不提出异议的，视为确定评审报告提出的最后报价评审价最低的供应商为成交供应商。</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17.成交通知:</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17.1采购人或者采购代理机构在成交供应商确定后2个工作日内，在指定的媒体上公告成交结果，同时向成交供应商发出成交通知书。采用书面推荐供应商参加采购活动的，还将公告采购人和评审专家的推荐意见。</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17.2成交通知书对采购人和成交供应商具有同等法律效力。除不可抗力因素或政策原因外，成交通知书发出后，采购人改变成交结果，或者成交供应商拒绝签订采购合同的，均应当承担相应的法律责任。未成交供应商对成交结果公告如果有异议的，应当自成交结果公告刊登之日起7个工作日内，以书面形式向采购人或采购代理机构提出质疑，有关质疑、投诉的相关规定和要求，按照《中华人民共和国政府采购法》、《中华人民共和国政府采购法实施条例》、有关财政部规章等法律文件规定执行。</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18.签订合同：</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采购人与成交供应商应当在成交通知书发出之日起30日内，按照采购文件确定的合同文本以及采购标的、规格型号、采购金额、采购数量、技术和服务要求等事项签订采购合同。根据项目的特点和需要，采购人如果对签订合同的时间期限、地点有特别要求的，可以在成交通知书中进一步明确，成交供应商应当按照成交通知书的规定和要求，及时与采购人签订合同。</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18.2竞争性谈判文件、成交供应商的响应文件及其有关澄清承诺文件等，均为签订采购合同的依据和组成部分。</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18.3采购人不得向成交供应商提出超出竞争性谈判文件以外的任何要求作为签订合同的条件，不得与成交供应商订立背离竞争性谈判文件确定的合同文本以及采购标的、规格型号、采购金额、采购数量、技术和服务要求等实质性内容的协议。</w:t>
      </w:r>
    </w:p>
    <w:p>
      <w:pPr>
        <w:keepNext w:val="0"/>
        <w:keepLines w:val="0"/>
        <w:widowControl/>
        <w:suppressLineNumbers w:val="0"/>
        <w:spacing w:before="75" w:beforeAutospacing="0" w:after="75" w:afterAutospacing="0" w:line="435" w:lineRule="atLeast"/>
        <w:ind w:left="0" w:right="0" w:firstLine="0"/>
        <w:jc w:val="center"/>
        <w:rPr>
          <w:rFonts w:ascii="Calibri" w:hAnsi="Calibri" w:eastAsia="宋体" w:cs="Times New Roman"/>
          <w:color w:val="auto"/>
          <w:kern w:val="0"/>
          <w:sz w:val="24"/>
          <w:szCs w:val="24"/>
          <w:highlight w:val="none"/>
          <w:lang w:val="en-US" w:eastAsia="zh-CN" w:bidi="ar"/>
        </w:rPr>
      </w:pPr>
      <w:r>
        <w:rPr>
          <w:rFonts w:hint="eastAsia" w:ascii="宋体" w:hAnsi="宋体" w:eastAsia="宋体" w:cs="宋体"/>
          <w:b/>
          <w:color w:val="auto"/>
          <w:spacing w:val="0"/>
          <w:kern w:val="0"/>
          <w:sz w:val="24"/>
          <w:szCs w:val="24"/>
          <w:highlight w:val="none"/>
          <w:lang w:val="en-US" w:eastAsia="zh-CN" w:bidi="ar"/>
        </w:rPr>
        <w:t>六、询问、质疑与投诉</w:t>
      </w:r>
    </w:p>
    <w:p>
      <w:pPr>
        <w:widowControl/>
        <w:spacing w:line="500" w:lineRule="exact"/>
        <w:ind w:firstLine="420" w:firstLineChars="200"/>
        <w:jc w:val="left"/>
        <w:rPr>
          <w:rFonts w:hint="eastAsia" w:ascii="宋体" w:hAnsi="宋体" w:cs="宋体"/>
          <w:color w:val="auto"/>
          <w:kern w:val="0"/>
          <w:szCs w:val="21"/>
          <w:highlight w:val="none"/>
          <w:lang w:eastAsia="zh-CN"/>
        </w:rPr>
      </w:pP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19.询问</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19.1潜在供应商或供应商对本次采购活动的有关事项若有疑问，可向采购人或采购代理机构提出询问，采购人或采购代理机构将按照政府采购法及实施条例的有关规定进行答复。</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20.质疑</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20.1质疑应在政府采购法及实施条例规定的时效内提出，并符合下列条件：</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20.1.1对谈判文件提出质疑的，质疑人应为潜在供应商，且两者的身份、名称等均应保持一致。对采购过程、结果提出质疑的，质疑人应为供应商，且两者的身份、名称等均应保持一致。提出质疑的供应商应当是直接参与所质疑项目采购活动的供应商。</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20.1.2质疑人应提交质疑函原件。</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20.1.3质疑函应包括下列主要内容：</w:t>
      </w:r>
    </w:p>
    <w:p>
      <w:pPr>
        <w:widowControl/>
        <w:spacing w:line="500" w:lineRule="exact"/>
        <w:ind w:firstLine="210" w:firstLineChars="1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①质疑人的基本信息，至少包括：全称、地址、邮政编码、联系人及联系电话等；适合自然人参加谈判的采购项目且质疑人为自然人的，质疑人提供本人的身份证复印件。质疑人为法人或其他组织的，提供统一社会信用代码营业执照或者组织机构登记证件复印件、单位负责人的身份证复印件；质疑人代表为委托代理人的，还应同时提供单位负责人授权书和委托代理人的身份证复印件。</w:t>
      </w:r>
    </w:p>
    <w:p>
      <w:pPr>
        <w:widowControl/>
        <w:spacing w:line="500" w:lineRule="exact"/>
        <w:ind w:firstLine="210" w:firstLineChars="1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②所质疑项目的基本信息，至少包括：项目编号、项目名称等；</w:t>
      </w:r>
    </w:p>
    <w:p>
      <w:pPr>
        <w:widowControl/>
        <w:spacing w:line="500" w:lineRule="exact"/>
        <w:ind w:firstLine="210" w:firstLineChars="1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③所质疑的具体事项（以下简称：“质疑事项”）；</w:t>
      </w:r>
    </w:p>
    <w:p>
      <w:pPr>
        <w:widowControl/>
        <w:spacing w:line="500" w:lineRule="exact"/>
        <w:ind w:firstLine="210" w:firstLineChars="1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④质疑人自身权益受到损害的事实依据和证明材料，至少包括：</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a1所质疑的具体事项事实存在的证明材料；</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a2所质疑的具体事项事实导致质疑人自身权益受到损害的证明材料，如：采购文件、采购过程或成交结果违法违规，损害自已合法权益等证明材料；</w:t>
      </w:r>
    </w:p>
    <w:p>
      <w:pPr>
        <w:widowControl/>
        <w:spacing w:line="500" w:lineRule="exact"/>
        <w:ind w:firstLine="210" w:firstLineChars="1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备注：若质疑的具体事项按照有关法律、法规和规章规定处于应当保密阶段，则应提供信息或证明材料为合法或公开渠道获得的有效证据（若证据无法有效表明信息或证明材料为合法或公开渠道获得，则前述信息或证明材料视为无效）。</w:t>
      </w:r>
    </w:p>
    <w:p>
      <w:pPr>
        <w:widowControl/>
        <w:spacing w:line="500" w:lineRule="exact"/>
        <w:ind w:firstLine="210" w:firstLineChars="1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⑤针对质疑事项提出的明确请求和法律依据，</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前述明确请求指质疑人提出质疑的目的、希望采购人或采购代理机构对其质疑作出的处理结果，如：暂停采购活动、修改谈判文件、停止或纠正违法违规行为、成交结果无效、废标、重新采购等，质疑人提出质疑请求还应当对相应的法律依据进行说明。</w:t>
      </w:r>
    </w:p>
    <w:p>
      <w:pPr>
        <w:widowControl/>
        <w:spacing w:line="500" w:lineRule="exact"/>
        <w:ind w:firstLine="210" w:firstLineChars="1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⑥提出质疑的日期以及质疑人代表联系方式，至少包括：姓名、手机、电子信箱、邮寄地址等。</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20.2对不符合前文第20.1条规定的质疑，采购人或采购代理机构将按照下列规定进行处理：</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20.2.1超过质疑时效提交的或者质疑人不是直接参与所质疑项目采购活动的供应商，书面告知质疑人其质疑不成立的原因和理由。</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20.2.2质疑函内容不符合规定的，告知质疑人修改、补充后在政府采购法及实施条例规定的时效内重新提交质疑函原件。质疑人拒不修改或补充的，则采购人或采购代理机构应当在质疑答复期内书面告知对方质疑不成立的原因和理由。</w:t>
      </w:r>
    </w:p>
    <w:p>
      <w:pPr>
        <w:widowControl/>
        <w:spacing w:line="500" w:lineRule="exac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20.2.3质疑人修改、补充质疑函超过质疑时效提交的按20 2 1款处理。供应商提交质疑函时，要认真阅读本章第20条关于质疑的相关规定，以免内容或资料不齐，需要修改补充而延误时间。</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20.3对符合前文第20 1条规定的质疑，采购人或采购代理机构将按照政府采购法及实施条例的有关规定进行答复。</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21.投诉</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21.1若对质疑答复不满意或质疑答复未在答复期限内作出，质疑人可在答复期限届满之日起15个工作日内向谈判文件中载明的监督管理部门投诉。</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21.1投诉应有明确的请求和必要的证明材料，投诉的事项不得超出已质疑事项的范围。</w:t>
      </w:r>
    </w:p>
    <w:p>
      <w:pPr>
        <w:widowControl/>
        <w:spacing w:line="500" w:lineRule="exac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七、有关信息公告和监督部门</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22.采购信息公告媒体</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22.1本项目的有关信息，包括但不限于采购公告、更正公告（若有）、谈判文件、谈判文件的澄清或修改（若有）、成交公告、终止公告（若有）、废标公告（若有）等都将在谈判文件载明的指定媒体发布。潜在供应商或供应商务必随时关注，以免遗漏。</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22.2信息公告指定媒体：详见竞争性谈判须知前附表。</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23.监督管理部门</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23.1谈判采购活动的监督管理部门详见竞争性谈判须知前附表。</w:t>
      </w:r>
    </w:p>
    <w:p>
      <w:pPr>
        <w:widowControl/>
        <w:spacing w:line="500" w:lineRule="exac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八、根据采购项目特点或政策需要补充的其他内容</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24.履约保证金</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24.1采购人可以根据项目特点和需要，确定是否要求成交供应商在合同签订前，按照谈判文件规定的时间、形式、金额提交履约保证金，履约保证金的数额不超过中标合同金额的10%，具体详见竞争性谈判须知前附表规定。</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24.2谈判文件要求在合同签订前提交履约保证金，如果成交供应商无故拖延或者拒不提交履约保证金的，则视为成交供应商拒绝与采购人签订合同，该成交供应商将承担违法行为的法律责任。</w:t>
      </w:r>
    </w:p>
    <w:p>
      <w:pPr>
        <w:widowControl/>
        <w:spacing w:line="500" w:lineRule="exac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25.其他新增内容：</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根据采购项目特点或政策需要补充的其他新增内容详见竞争性谈判须知前附表。</w:t>
      </w:r>
    </w:p>
    <w:p>
      <w:pPr>
        <w:pStyle w:val="17"/>
        <w:rPr>
          <w:color w:val="auto"/>
          <w:highlight w:val="none"/>
        </w:rPr>
      </w:pPr>
      <w:r>
        <w:rPr>
          <w:color w:val="auto"/>
          <w:kern w:val="0"/>
          <w:sz w:val="24"/>
          <w:highlight w:val="none"/>
        </w:rPr>
        <w:br w:type="textWrapping"/>
      </w:r>
      <w:r>
        <w:rPr>
          <w:rFonts w:hint="eastAsia"/>
          <w:color w:val="auto"/>
          <w:kern w:val="0"/>
          <w:highlight w:val="none"/>
        </w:rPr>
        <w:br w:type="page"/>
      </w:r>
      <w:bookmarkStart w:id="10" w:name="_Toc3991774"/>
      <w:bookmarkStart w:id="11" w:name="_Toc3991523"/>
      <w:bookmarkStart w:id="12" w:name="_Toc3991456"/>
      <w:bookmarkStart w:id="13" w:name="_Toc3991773"/>
      <w:r>
        <w:rPr>
          <w:color w:val="auto"/>
          <w:highlight w:val="none"/>
        </w:rPr>
        <w:t>第三章</w:t>
      </w:r>
      <w:r>
        <w:rPr>
          <w:rFonts w:hint="eastAsia"/>
          <w:color w:val="auto"/>
          <w:highlight w:val="none"/>
        </w:rPr>
        <w:t xml:space="preserve">  </w:t>
      </w:r>
      <w:r>
        <w:rPr>
          <w:color w:val="auto"/>
          <w:highlight w:val="none"/>
        </w:rPr>
        <w:t>采购内容及要求</w:t>
      </w:r>
      <w:bookmarkEnd w:id="10"/>
      <w:bookmarkEnd w:id="11"/>
      <w:bookmarkEnd w:id="12"/>
      <w:bookmarkEnd w:id="13"/>
    </w:p>
    <w:p>
      <w:pPr>
        <w:rPr>
          <w:rFonts w:hint="eastAsia"/>
          <w:color w:val="auto"/>
          <w:highlight w:val="none"/>
        </w:rPr>
      </w:pPr>
    </w:p>
    <w:p>
      <w:pPr>
        <w:spacing w:line="500" w:lineRule="exact"/>
        <w:rPr>
          <w:rFonts w:hint="eastAsia" w:ascii="宋体" w:hAnsi="宋体"/>
          <w:b/>
          <w:bCs/>
          <w:color w:val="auto"/>
          <w:highlight w:val="none"/>
        </w:rPr>
      </w:pPr>
      <w:r>
        <w:rPr>
          <w:rFonts w:hint="eastAsia" w:ascii="宋体" w:hAnsi="宋体"/>
          <w:b/>
          <w:bCs/>
          <w:color w:val="auto"/>
          <w:highlight w:val="none"/>
        </w:rPr>
        <w:t>一、项目概述</w:t>
      </w:r>
    </w:p>
    <w:p>
      <w:pPr>
        <w:spacing w:line="500" w:lineRule="exact"/>
        <w:ind w:firstLine="420" w:firstLineChars="200"/>
        <w:rPr>
          <w:rFonts w:hint="eastAsia" w:ascii="宋体" w:hAnsi="宋体"/>
          <w:color w:val="auto"/>
          <w:highlight w:val="none"/>
        </w:rPr>
      </w:pPr>
      <w:r>
        <w:rPr>
          <w:rFonts w:hint="eastAsia" w:ascii="宋体" w:hAnsi="宋体"/>
          <w:color w:val="auto"/>
          <w:highlight w:val="none"/>
        </w:rPr>
        <w:t>1、本次采购的服务为2023年度团体补充医疗保险</w:t>
      </w:r>
      <w:r>
        <w:rPr>
          <w:rFonts w:hint="eastAsia"/>
          <w:b/>
          <w:bCs/>
          <w:color w:val="auto"/>
          <w:highlight w:val="none"/>
        </w:rPr>
        <w:t>，属保险业</w:t>
      </w:r>
      <w:r>
        <w:rPr>
          <w:rFonts w:hint="eastAsia" w:ascii="宋体" w:hAnsi="宋体"/>
          <w:b/>
          <w:bCs/>
          <w:color w:val="auto"/>
          <w:highlight w:val="none"/>
        </w:rPr>
        <w:t>。</w:t>
      </w:r>
      <w:r>
        <w:rPr>
          <w:rFonts w:hint="eastAsia" w:ascii="宋体" w:hAnsi="宋体" w:cs="宋体"/>
          <w:color w:val="auto"/>
          <w:szCs w:val="21"/>
          <w:highlight w:val="none"/>
        </w:rPr>
        <w:t xml:space="preserve"> 福建闽东电力股份有限公司（简称闽东电力，股票代码000993）成立于1998年12月30日，由闽东老区水电开发总公司作为主发起人，合并全区各县市（除古田外）所属国有小水电企业设立，主营水电开发、电力生产与销售，于2000年7月在深圳证券交易所挂牌上市。第一大股东为宁德市国有资产投资经营有限公司。近一期资产总额45.48亿元，员工人数近1900余人。公司下辖分子公司35家。其中：水电分子公司12家，参股公司1家，电站22个；风电子公司3家，参股公司3家，控股风电场4个；其他子公司6家，参股公司10家，涉及房地产、船舶、酒店、金融等领域。</w:t>
      </w:r>
      <w:r>
        <w:rPr>
          <w:rFonts w:hint="eastAsia" w:ascii="宋体" w:hAnsi="宋体"/>
          <w:color w:val="auto"/>
          <w:highlight w:val="none"/>
        </w:rPr>
        <w:t>供应商应根据</w:t>
      </w:r>
      <w:r>
        <w:rPr>
          <w:rFonts w:hint="eastAsia" w:ascii="宋体" w:hAnsi="宋体"/>
          <w:color w:val="auto"/>
          <w:highlight w:val="none"/>
          <w:lang w:eastAsia="zh-CN"/>
        </w:rPr>
        <w:t>谈判文件</w:t>
      </w:r>
      <w:r>
        <w:rPr>
          <w:rFonts w:hint="eastAsia" w:ascii="宋体" w:hAnsi="宋体"/>
          <w:color w:val="auto"/>
          <w:highlight w:val="none"/>
        </w:rPr>
        <w:t>的要求，开展项目尽职调查工作，充分理解本项目的需求，充分了解项目的客观情况，提供符合采购人需求的货物、服务或工程。</w:t>
      </w:r>
    </w:p>
    <w:p>
      <w:pPr>
        <w:spacing w:line="500" w:lineRule="exact"/>
        <w:ind w:firstLine="420" w:firstLineChars="200"/>
        <w:rPr>
          <w:rFonts w:hint="eastAsia" w:ascii="宋体" w:hAnsi="宋体"/>
          <w:color w:val="auto"/>
          <w:highlight w:val="none"/>
        </w:rPr>
      </w:pPr>
      <w:r>
        <w:rPr>
          <w:rFonts w:hint="eastAsia" w:ascii="宋体" w:hAnsi="宋体"/>
          <w:color w:val="auto"/>
          <w:highlight w:val="none"/>
        </w:rPr>
        <w:t>2、供应商必须保证提供的所有货物、服务或工程必须符合国家、地方、行业相关标准、规范要求。如因供应商缘故违反国家、地方、行业相关规定而产生的纠纷和责任，均由供应商负全责。若因此给采购人造成损失的，供应商还要负赔偿责任。</w:t>
      </w:r>
    </w:p>
    <w:p>
      <w:pPr>
        <w:spacing w:line="500" w:lineRule="exact"/>
        <w:ind w:firstLine="420" w:firstLineChars="200"/>
        <w:rPr>
          <w:rFonts w:hint="eastAsia" w:ascii="宋体" w:hAnsi="宋体"/>
          <w:color w:val="auto"/>
          <w:highlight w:val="none"/>
        </w:rPr>
      </w:pPr>
      <w:r>
        <w:rPr>
          <w:rFonts w:hint="eastAsia" w:ascii="宋体" w:hAnsi="宋体"/>
          <w:color w:val="auto"/>
          <w:highlight w:val="none"/>
        </w:rPr>
        <w:t>3、供应商务必仔细阅读</w:t>
      </w:r>
      <w:r>
        <w:rPr>
          <w:rFonts w:hint="eastAsia" w:ascii="宋体" w:hAnsi="宋体"/>
          <w:color w:val="auto"/>
          <w:highlight w:val="none"/>
          <w:lang w:eastAsia="zh-CN"/>
        </w:rPr>
        <w:t>谈判文件</w:t>
      </w:r>
      <w:r>
        <w:rPr>
          <w:rFonts w:hint="eastAsia" w:ascii="宋体" w:hAnsi="宋体"/>
          <w:color w:val="auto"/>
          <w:highlight w:val="none"/>
        </w:rPr>
        <w:t>中所规定的，其中包括技术指标要求、商务条件部分在内的所有细则。</w:t>
      </w:r>
    </w:p>
    <w:p>
      <w:pPr>
        <w:widowControl/>
        <w:spacing w:before="180" w:line="500" w:lineRule="exact"/>
        <w:ind w:firstLine="482"/>
        <w:jc w:val="left"/>
        <w:rPr>
          <w:rFonts w:hint="eastAsia" w:ascii="宋体" w:hAnsi="宋体" w:cs="宋体"/>
          <w:b/>
          <w:color w:val="auto"/>
          <w:kern w:val="0"/>
          <w:szCs w:val="21"/>
          <w:highlight w:val="none"/>
        </w:rPr>
      </w:pPr>
      <w:bookmarkStart w:id="14" w:name="_Toc483211388"/>
      <w:bookmarkStart w:id="15" w:name="_Toc496882957"/>
      <w:r>
        <w:rPr>
          <w:rFonts w:hint="eastAsia" w:ascii="宋体" w:hAnsi="宋体" w:cs="宋体"/>
          <w:b/>
          <w:color w:val="auto"/>
          <w:kern w:val="0"/>
          <w:szCs w:val="21"/>
          <w:highlight w:val="none"/>
        </w:rPr>
        <w:t>二、技术和服务要求</w:t>
      </w:r>
      <w:bookmarkEnd w:id="14"/>
      <w:bookmarkEnd w:id="15"/>
      <w:r>
        <w:rPr>
          <w:rFonts w:hint="eastAsia" w:ascii="宋体" w:hAnsi="宋体" w:cs="宋体"/>
          <w:b/>
          <w:color w:val="auto"/>
          <w:kern w:val="0"/>
          <w:szCs w:val="21"/>
          <w:highlight w:val="none"/>
        </w:rPr>
        <w:t>（★以下内容均为不允许负偏离的实质性要求</w:t>
      </w:r>
      <w:bookmarkStart w:id="16" w:name="_Toc496882958"/>
      <w:bookmarkStart w:id="17" w:name="_Toc483211389"/>
      <w:bookmarkStart w:id="18" w:name="_Toc482373834"/>
      <w:r>
        <w:rPr>
          <w:rFonts w:hint="eastAsia" w:ascii="宋体" w:hAnsi="宋体" w:cs="宋体"/>
          <w:b/>
          <w:color w:val="auto"/>
          <w:kern w:val="0"/>
          <w:szCs w:val="21"/>
          <w:highlight w:val="none"/>
        </w:rPr>
        <w:t>）</w:t>
      </w:r>
    </w:p>
    <w:p>
      <w:pPr>
        <w:pStyle w:val="6"/>
        <w:keepNext w:val="0"/>
        <w:keepLines w:val="0"/>
        <w:pageBreakBefore w:val="0"/>
        <w:kinsoku/>
        <w:wordWrap/>
        <w:overflowPunct/>
        <w:topLinePunct w:val="0"/>
        <w:autoSpaceDE/>
        <w:autoSpaceDN/>
        <w:bidi w:val="0"/>
        <w:snapToGrid/>
        <w:spacing w:line="500" w:lineRule="exact"/>
        <w:ind w:firstLineChars="200"/>
        <w:rPr>
          <w:rFonts w:hint="eastAsia" w:ascii="宋体" w:hAnsi="宋体" w:cs="宋体"/>
          <w:color w:val="auto"/>
          <w:szCs w:val="21"/>
          <w:highlight w:val="none"/>
        </w:rPr>
      </w:pPr>
      <w:r>
        <w:rPr>
          <w:rFonts w:hint="eastAsia" w:ascii="宋体" w:hAnsi="宋体" w:cs="宋体"/>
          <w:color w:val="auto"/>
          <w:szCs w:val="21"/>
          <w:highlight w:val="none"/>
        </w:rPr>
        <w:t>（一）保险服务内容及要求</w:t>
      </w:r>
    </w:p>
    <w:p>
      <w:pPr>
        <w:keepNext w:val="0"/>
        <w:keepLines w:val="0"/>
        <w:pageBreakBefore w:val="0"/>
        <w:kinsoku/>
        <w:wordWrap/>
        <w:overflowPunct/>
        <w:topLinePunct w:val="0"/>
        <w:autoSpaceDE/>
        <w:autoSpaceDN/>
        <w:bidi w:val="0"/>
        <w:snapToGrid/>
        <w:spacing w:line="500" w:lineRule="exact"/>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1.被保险人</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福建闽东电力股份有限公司全体人员、福建闽东电力股份有限公司控股（全资）子公司及其附属公司。</w:t>
      </w:r>
    </w:p>
    <w:p>
      <w:pPr>
        <w:keepNext w:val="0"/>
        <w:keepLines w:val="0"/>
        <w:pageBreakBefore w:val="0"/>
        <w:kinsoku/>
        <w:wordWrap/>
        <w:overflowPunct/>
        <w:topLinePunct w:val="0"/>
        <w:autoSpaceDE/>
        <w:autoSpaceDN/>
        <w:bidi w:val="0"/>
        <w:snapToGrid/>
        <w:spacing w:line="500" w:lineRule="exact"/>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2.投保险种</w:t>
      </w:r>
    </w:p>
    <w:p>
      <w:pPr>
        <w:keepNext w:val="0"/>
        <w:keepLines w:val="0"/>
        <w:pageBreakBefore w:val="0"/>
        <w:kinsoku/>
        <w:wordWrap/>
        <w:overflowPunct/>
        <w:topLinePunct w:val="0"/>
        <w:autoSpaceDE/>
        <w:autoSpaceDN/>
        <w:bidi w:val="0"/>
        <w:snapToGrid/>
        <w:spacing w:line="500" w:lineRule="exact"/>
        <w:ind w:firstLine="420" w:firstLineChars="200"/>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团体补充医疗保险，包含下列险种责任:</w:t>
      </w:r>
    </w:p>
    <w:p>
      <w:pPr>
        <w:keepNext w:val="0"/>
        <w:keepLines w:val="0"/>
        <w:pageBreakBefore w:val="0"/>
        <w:kinsoku/>
        <w:wordWrap/>
        <w:overflowPunct/>
        <w:topLinePunct w:val="0"/>
        <w:autoSpaceDE/>
        <w:autoSpaceDN/>
        <w:bidi w:val="0"/>
        <w:snapToGrid/>
        <w:spacing w:line="500" w:lineRule="exact"/>
        <w:ind w:firstLine="533" w:firstLineChars="264"/>
        <w:outlineLvl w:val="2"/>
        <w:rPr>
          <w:rFonts w:hint="eastAsia" w:ascii="宋体" w:hAnsi="宋体" w:eastAsia="宋体" w:cs="宋体"/>
          <w:color w:val="auto"/>
          <w:spacing w:val="-4"/>
          <w:sz w:val="21"/>
          <w:szCs w:val="21"/>
          <w:highlight w:val="none"/>
        </w:rPr>
      </w:pPr>
      <w:bookmarkStart w:id="19" w:name="_Toc32281"/>
      <w:r>
        <w:rPr>
          <w:rFonts w:hint="eastAsia" w:ascii="宋体" w:hAnsi="宋体" w:eastAsia="宋体" w:cs="宋体"/>
          <w:color w:val="auto"/>
          <w:spacing w:val="-4"/>
          <w:sz w:val="21"/>
          <w:szCs w:val="21"/>
          <w:highlight w:val="none"/>
          <w:lang w:val="en-US" w:eastAsia="zh-CN"/>
        </w:rPr>
        <w:t>①</w:t>
      </w:r>
      <w:r>
        <w:rPr>
          <w:rFonts w:hint="eastAsia" w:ascii="宋体" w:hAnsi="宋体" w:eastAsia="宋体" w:cs="宋体"/>
          <w:color w:val="auto"/>
          <w:spacing w:val="-4"/>
          <w:sz w:val="21"/>
          <w:szCs w:val="21"/>
          <w:highlight w:val="none"/>
        </w:rPr>
        <w:t>团体人身意外伤害保险；</w:t>
      </w:r>
      <w:bookmarkEnd w:id="19"/>
    </w:p>
    <w:p>
      <w:pPr>
        <w:keepNext w:val="0"/>
        <w:keepLines w:val="0"/>
        <w:pageBreakBefore w:val="0"/>
        <w:kinsoku/>
        <w:wordWrap/>
        <w:overflowPunct/>
        <w:topLinePunct w:val="0"/>
        <w:autoSpaceDE/>
        <w:autoSpaceDN/>
        <w:bidi w:val="0"/>
        <w:snapToGrid/>
        <w:spacing w:line="500" w:lineRule="exact"/>
        <w:ind w:firstLine="533" w:firstLineChars="264"/>
        <w:outlineLvl w:val="2"/>
        <w:rPr>
          <w:rFonts w:hint="eastAsia" w:ascii="宋体" w:hAnsi="宋体" w:eastAsia="宋体" w:cs="宋体"/>
          <w:color w:val="auto"/>
          <w:spacing w:val="-4"/>
          <w:sz w:val="21"/>
          <w:szCs w:val="21"/>
          <w:highlight w:val="none"/>
        </w:rPr>
      </w:pPr>
      <w:bookmarkStart w:id="20" w:name="_Toc13544"/>
      <w:r>
        <w:rPr>
          <w:rFonts w:hint="eastAsia" w:ascii="宋体" w:hAnsi="宋体" w:eastAsia="宋体" w:cs="宋体"/>
          <w:color w:val="auto"/>
          <w:spacing w:val="-4"/>
          <w:sz w:val="21"/>
          <w:szCs w:val="21"/>
          <w:highlight w:val="none"/>
          <w:lang w:val="en-US" w:eastAsia="zh-CN"/>
        </w:rPr>
        <w:t>②</w:t>
      </w:r>
      <w:r>
        <w:rPr>
          <w:rFonts w:hint="eastAsia" w:ascii="宋体" w:hAnsi="宋体" w:eastAsia="宋体" w:cs="宋体"/>
          <w:color w:val="auto"/>
          <w:spacing w:val="-4"/>
          <w:sz w:val="21"/>
          <w:szCs w:val="21"/>
          <w:highlight w:val="none"/>
        </w:rPr>
        <w:t>（附加）意外伤害医疗费用保险；</w:t>
      </w:r>
      <w:bookmarkEnd w:id="20"/>
    </w:p>
    <w:p>
      <w:pPr>
        <w:keepNext w:val="0"/>
        <w:keepLines w:val="0"/>
        <w:pageBreakBefore w:val="0"/>
        <w:kinsoku/>
        <w:wordWrap/>
        <w:overflowPunct/>
        <w:topLinePunct w:val="0"/>
        <w:autoSpaceDE/>
        <w:autoSpaceDN/>
        <w:bidi w:val="0"/>
        <w:snapToGrid/>
        <w:spacing w:line="500" w:lineRule="exact"/>
        <w:ind w:firstLine="533" w:firstLineChars="264"/>
        <w:outlineLvl w:val="2"/>
        <w:rPr>
          <w:rFonts w:hint="eastAsia" w:ascii="宋体" w:hAnsi="宋体" w:eastAsia="宋体" w:cs="宋体"/>
          <w:color w:val="auto"/>
          <w:spacing w:val="-4"/>
          <w:sz w:val="21"/>
          <w:szCs w:val="21"/>
          <w:highlight w:val="none"/>
        </w:rPr>
      </w:pPr>
      <w:bookmarkStart w:id="21" w:name="_Toc21653"/>
      <w:r>
        <w:rPr>
          <w:rFonts w:hint="eastAsia" w:ascii="宋体" w:hAnsi="宋体" w:eastAsia="宋体" w:cs="宋体"/>
          <w:color w:val="auto"/>
          <w:spacing w:val="-4"/>
          <w:sz w:val="21"/>
          <w:szCs w:val="21"/>
          <w:highlight w:val="none"/>
          <w:lang w:val="en-US" w:eastAsia="zh-CN"/>
        </w:rPr>
        <w:t>③</w:t>
      </w:r>
      <w:r>
        <w:rPr>
          <w:rFonts w:hint="eastAsia" w:ascii="宋体" w:hAnsi="宋体" w:eastAsia="宋体" w:cs="宋体"/>
          <w:color w:val="auto"/>
          <w:spacing w:val="-4"/>
          <w:sz w:val="21"/>
          <w:szCs w:val="21"/>
          <w:highlight w:val="none"/>
        </w:rPr>
        <w:t>团体重大疾病保险（一年期）；</w:t>
      </w:r>
      <w:bookmarkEnd w:id="21"/>
    </w:p>
    <w:p>
      <w:pPr>
        <w:keepNext w:val="0"/>
        <w:keepLines w:val="0"/>
        <w:pageBreakBefore w:val="0"/>
        <w:kinsoku/>
        <w:wordWrap/>
        <w:overflowPunct/>
        <w:topLinePunct w:val="0"/>
        <w:autoSpaceDE/>
        <w:autoSpaceDN/>
        <w:bidi w:val="0"/>
        <w:snapToGrid/>
        <w:spacing w:line="500" w:lineRule="exact"/>
        <w:ind w:firstLine="533" w:firstLineChars="264"/>
        <w:outlineLvl w:val="2"/>
        <w:rPr>
          <w:rFonts w:hint="eastAsia" w:ascii="宋体" w:hAnsi="宋体" w:eastAsia="宋体" w:cs="宋体"/>
          <w:color w:val="auto"/>
          <w:spacing w:val="-4"/>
          <w:sz w:val="21"/>
          <w:szCs w:val="21"/>
          <w:highlight w:val="none"/>
        </w:rPr>
      </w:pPr>
      <w:bookmarkStart w:id="22" w:name="_Toc3058"/>
      <w:r>
        <w:rPr>
          <w:rFonts w:hint="eastAsia" w:ascii="宋体" w:hAnsi="宋体" w:eastAsia="宋体" w:cs="宋体"/>
          <w:color w:val="auto"/>
          <w:spacing w:val="-4"/>
          <w:sz w:val="21"/>
          <w:szCs w:val="21"/>
          <w:highlight w:val="none"/>
          <w:lang w:val="en-US" w:eastAsia="zh-CN"/>
        </w:rPr>
        <w:t>④</w:t>
      </w:r>
      <w:r>
        <w:rPr>
          <w:rFonts w:hint="eastAsia" w:ascii="宋体" w:hAnsi="宋体" w:eastAsia="宋体" w:cs="宋体"/>
          <w:color w:val="auto"/>
          <w:spacing w:val="-4"/>
          <w:sz w:val="21"/>
          <w:szCs w:val="21"/>
          <w:highlight w:val="none"/>
        </w:rPr>
        <w:t>（附加）重大疾病轻症保障；</w:t>
      </w:r>
      <w:bookmarkEnd w:id="22"/>
    </w:p>
    <w:p>
      <w:pPr>
        <w:keepNext w:val="0"/>
        <w:keepLines w:val="0"/>
        <w:pageBreakBefore w:val="0"/>
        <w:kinsoku/>
        <w:wordWrap/>
        <w:overflowPunct/>
        <w:topLinePunct w:val="0"/>
        <w:autoSpaceDE/>
        <w:autoSpaceDN/>
        <w:bidi w:val="0"/>
        <w:snapToGrid/>
        <w:spacing w:line="500" w:lineRule="exact"/>
        <w:ind w:firstLine="533" w:firstLineChars="264"/>
        <w:outlineLvl w:val="2"/>
        <w:rPr>
          <w:rFonts w:hint="eastAsia" w:ascii="宋体" w:hAnsi="宋体" w:eastAsia="宋体" w:cs="宋体"/>
          <w:color w:val="auto"/>
          <w:spacing w:val="-4"/>
          <w:sz w:val="21"/>
          <w:szCs w:val="21"/>
          <w:highlight w:val="none"/>
        </w:rPr>
      </w:pPr>
      <w:bookmarkStart w:id="23" w:name="_Toc15004"/>
      <w:r>
        <w:rPr>
          <w:rFonts w:hint="eastAsia" w:ascii="宋体" w:hAnsi="宋体" w:eastAsia="宋体" w:cs="宋体"/>
          <w:color w:val="auto"/>
          <w:spacing w:val="-4"/>
          <w:sz w:val="21"/>
          <w:szCs w:val="21"/>
          <w:highlight w:val="none"/>
          <w:lang w:val="en-US" w:eastAsia="zh-CN"/>
        </w:rPr>
        <w:t>⑤</w:t>
      </w:r>
      <w:r>
        <w:rPr>
          <w:rFonts w:hint="eastAsia" w:ascii="宋体" w:hAnsi="宋体" w:eastAsia="宋体" w:cs="宋体"/>
          <w:color w:val="auto"/>
          <w:spacing w:val="-4"/>
          <w:sz w:val="21"/>
          <w:szCs w:val="21"/>
          <w:highlight w:val="none"/>
        </w:rPr>
        <w:t>（附加）疾病住院医疗保险。</w:t>
      </w:r>
      <w:bookmarkEnd w:id="23"/>
    </w:p>
    <w:p>
      <w:pPr>
        <w:pStyle w:val="2"/>
        <w:keepNext w:val="0"/>
        <w:keepLines w:val="0"/>
        <w:pageBreakBefore w:val="0"/>
        <w:kinsoku/>
        <w:wordWrap/>
        <w:overflowPunct/>
        <w:topLinePunct w:val="0"/>
        <w:autoSpaceDE/>
        <w:autoSpaceDN/>
        <w:bidi w:val="0"/>
        <w:snapToGrid/>
        <w:spacing w:line="500" w:lineRule="exact"/>
        <w:ind w:firstLine="404"/>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lang w:val="en-US" w:eastAsia="zh-CN"/>
        </w:rPr>
        <w:t>2</w:t>
      </w:r>
      <w:r>
        <w:rPr>
          <w:rFonts w:hint="eastAsia" w:ascii="宋体" w:hAnsi="宋体" w:eastAsia="宋体" w:cs="宋体"/>
          <w:color w:val="auto"/>
          <w:spacing w:val="-4"/>
          <w:sz w:val="21"/>
          <w:szCs w:val="21"/>
          <w:highlight w:val="none"/>
          <w:lang w:eastAsia="zh-CN"/>
        </w:rPr>
        <w:t>）团体人身保险</w:t>
      </w:r>
      <w:r>
        <w:rPr>
          <w:rFonts w:hint="eastAsia" w:ascii="宋体" w:hAnsi="宋体" w:eastAsia="宋体" w:cs="宋体"/>
          <w:color w:val="auto"/>
          <w:spacing w:val="-4"/>
          <w:sz w:val="21"/>
          <w:szCs w:val="21"/>
          <w:highlight w:val="none"/>
        </w:rPr>
        <w:t>，包含下列险种责任：</w:t>
      </w:r>
    </w:p>
    <w:p>
      <w:pPr>
        <w:pStyle w:val="2"/>
        <w:keepNext w:val="0"/>
        <w:keepLines w:val="0"/>
        <w:pageBreakBefore w:val="0"/>
        <w:kinsoku/>
        <w:wordWrap/>
        <w:overflowPunct/>
        <w:topLinePunct w:val="0"/>
        <w:autoSpaceDE/>
        <w:autoSpaceDN/>
        <w:bidi w:val="0"/>
        <w:snapToGrid/>
        <w:spacing w:line="500" w:lineRule="exact"/>
        <w:ind w:firstLine="404"/>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val="en-US" w:eastAsia="zh-CN"/>
        </w:rPr>
        <w:t>①</w:t>
      </w:r>
      <w:r>
        <w:rPr>
          <w:rFonts w:hint="eastAsia" w:ascii="宋体" w:hAnsi="宋体" w:eastAsia="宋体" w:cs="宋体"/>
          <w:color w:val="auto"/>
          <w:spacing w:val="-4"/>
          <w:sz w:val="21"/>
          <w:szCs w:val="21"/>
          <w:highlight w:val="none"/>
        </w:rPr>
        <w:t>团体人身意外伤害保险；</w:t>
      </w:r>
    </w:p>
    <w:p>
      <w:pPr>
        <w:pStyle w:val="2"/>
        <w:keepNext w:val="0"/>
        <w:keepLines w:val="0"/>
        <w:pageBreakBefore w:val="0"/>
        <w:kinsoku/>
        <w:wordWrap/>
        <w:overflowPunct/>
        <w:topLinePunct w:val="0"/>
        <w:autoSpaceDE/>
        <w:autoSpaceDN/>
        <w:bidi w:val="0"/>
        <w:snapToGrid/>
        <w:spacing w:line="500" w:lineRule="exact"/>
        <w:ind w:firstLine="404"/>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val="en-US" w:eastAsia="zh-CN"/>
        </w:rPr>
        <w:t>②</w:t>
      </w:r>
      <w:r>
        <w:rPr>
          <w:rFonts w:hint="eastAsia" w:ascii="宋体" w:hAnsi="宋体" w:eastAsia="宋体" w:cs="宋体"/>
          <w:color w:val="auto"/>
          <w:spacing w:val="-4"/>
          <w:sz w:val="21"/>
          <w:szCs w:val="21"/>
          <w:highlight w:val="none"/>
        </w:rPr>
        <w:t>（附加）意外伤害医疗费用保险；</w:t>
      </w:r>
    </w:p>
    <w:p>
      <w:pPr>
        <w:pStyle w:val="2"/>
        <w:keepNext w:val="0"/>
        <w:keepLines w:val="0"/>
        <w:pageBreakBefore w:val="0"/>
        <w:kinsoku/>
        <w:wordWrap/>
        <w:overflowPunct/>
        <w:topLinePunct w:val="0"/>
        <w:autoSpaceDE/>
        <w:autoSpaceDN/>
        <w:bidi w:val="0"/>
        <w:snapToGrid/>
        <w:spacing w:line="500" w:lineRule="exact"/>
        <w:ind w:firstLine="404"/>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val="en-US" w:eastAsia="zh-CN"/>
        </w:rPr>
        <w:t>③</w:t>
      </w:r>
      <w:r>
        <w:rPr>
          <w:rFonts w:hint="eastAsia" w:ascii="宋体" w:hAnsi="宋体" w:eastAsia="宋体" w:cs="宋体"/>
          <w:color w:val="auto"/>
          <w:spacing w:val="-4"/>
          <w:sz w:val="21"/>
          <w:szCs w:val="21"/>
          <w:highlight w:val="none"/>
        </w:rPr>
        <w:t>团体重大疾病保险（一年期）；</w:t>
      </w:r>
    </w:p>
    <w:p>
      <w:pPr>
        <w:pStyle w:val="2"/>
        <w:keepNext w:val="0"/>
        <w:keepLines w:val="0"/>
        <w:pageBreakBefore w:val="0"/>
        <w:kinsoku/>
        <w:wordWrap/>
        <w:overflowPunct/>
        <w:topLinePunct w:val="0"/>
        <w:autoSpaceDE/>
        <w:autoSpaceDN/>
        <w:bidi w:val="0"/>
        <w:snapToGrid/>
        <w:spacing w:line="500" w:lineRule="exact"/>
        <w:ind w:firstLine="404"/>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val="en-US" w:eastAsia="zh-CN"/>
        </w:rPr>
        <w:t>④</w:t>
      </w:r>
      <w:r>
        <w:rPr>
          <w:rFonts w:hint="eastAsia" w:ascii="宋体" w:hAnsi="宋体" w:eastAsia="宋体" w:cs="宋体"/>
          <w:color w:val="auto"/>
          <w:spacing w:val="-4"/>
          <w:sz w:val="21"/>
          <w:szCs w:val="21"/>
          <w:highlight w:val="none"/>
        </w:rPr>
        <w:t>（附加）疾病住院津贴保险。</w:t>
      </w:r>
    </w:p>
    <w:p>
      <w:pPr>
        <w:keepNext w:val="0"/>
        <w:keepLines w:val="0"/>
        <w:pageBreakBefore w:val="0"/>
        <w:kinsoku/>
        <w:wordWrap/>
        <w:overflowPunct/>
        <w:topLinePunct w:val="0"/>
        <w:autoSpaceDE/>
        <w:autoSpaceDN/>
        <w:bidi w:val="0"/>
        <w:snapToGrid/>
        <w:spacing w:line="500" w:lineRule="exact"/>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3.投保险种、保险责任和基本保险金额</w:t>
      </w:r>
    </w:p>
    <w:p>
      <w:pPr>
        <w:pStyle w:val="2"/>
        <w:keepNext w:val="0"/>
        <w:keepLines w:val="0"/>
        <w:pageBreakBefore w:val="0"/>
        <w:kinsoku/>
        <w:wordWrap/>
        <w:overflowPunct/>
        <w:topLinePunct w:val="0"/>
        <w:autoSpaceDE/>
        <w:autoSpaceDN/>
        <w:bidi w:val="0"/>
        <w:snapToGrid/>
        <w:spacing w:line="500" w:lineRule="exact"/>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团体补充医疗保险</w:t>
      </w:r>
    </w:p>
    <w:tbl>
      <w:tblPr>
        <w:tblStyle w:val="18"/>
        <w:tblW w:w="9799" w:type="dxa"/>
        <w:jc w:val="center"/>
        <w:tblLayout w:type="fixed"/>
        <w:tblCellMar>
          <w:top w:w="0" w:type="dxa"/>
          <w:left w:w="0" w:type="dxa"/>
          <w:bottom w:w="0" w:type="dxa"/>
          <w:right w:w="0" w:type="dxa"/>
        </w:tblCellMar>
      </w:tblPr>
      <w:tblGrid>
        <w:gridCol w:w="3810"/>
        <w:gridCol w:w="4592"/>
        <w:gridCol w:w="1397"/>
      </w:tblGrid>
      <w:tr>
        <w:tblPrEx>
          <w:tblCellMar>
            <w:top w:w="0" w:type="dxa"/>
            <w:left w:w="0" w:type="dxa"/>
            <w:bottom w:w="0" w:type="dxa"/>
            <w:right w:w="0" w:type="dxa"/>
          </w:tblCellMar>
        </w:tblPrEx>
        <w:trPr>
          <w:trHeight w:val="319" w:hRule="atLeast"/>
          <w:jc w:val="center"/>
        </w:trPr>
        <w:tc>
          <w:tcPr>
            <w:tcW w:w="3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保险险种</w:t>
            </w:r>
          </w:p>
        </w:tc>
        <w:tc>
          <w:tcPr>
            <w:tcW w:w="45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保险责任</w:t>
            </w:r>
          </w:p>
        </w:tc>
        <w:tc>
          <w:tcPr>
            <w:tcW w:w="13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保险金额</w:t>
            </w:r>
          </w:p>
        </w:tc>
      </w:tr>
      <w:tr>
        <w:tblPrEx>
          <w:tblCellMar>
            <w:top w:w="0" w:type="dxa"/>
            <w:left w:w="0" w:type="dxa"/>
            <w:bottom w:w="0" w:type="dxa"/>
            <w:right w:w="0" w:type="dxa"/>
          </w:tblCellMar>
        </w:tblPrEx>
        <w:trPr>
          <w:trHeight w:val="327" w:hRule="atLeast"/>
          <w:jc w:val="center"/>
        </w:trPr>
        <w:tc>
          <w:tcPr>
            <w:tcW w:w="3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团体人身意外伤害保险</w:t>
            </w:r>
          </w:p>
        </w:tc>
        <w:tc>
          <w:tcPr>
            <w:tcW w:w="45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被保险人遭受意外伤害死亡或伤残</w:t>
            </w:r>
          </w:p>
        </w:tc>
        <w:tc>
          <w:tcPr>
            <w:tcW w:w="13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50万元/人</w:t>
            </w:r>
          </w:p>
        </w:tc>
      </w:tr>
      <w:tr>
        <w:tblPrEx>
          <w:tblCellMar>
            <w:top w:w="0" w:type="dxa"/>
            <w:left w:w="0" w:type="dxa"/>
            <w:bottom w:w="0" w:type="dxa"/>
            <w:right w:w="0" w:type="dxa"/>
          </w:tblCellMar>
        </w:tblPrEx>
        <w:trPr>
          <w:trHeight w:val="628" w:hRule="atLeast"/>
          <w:jc w:val="center"/>
        </w:trPr>
        <w:tc>
          <w:tcPr>
            <w:tcW w:w="3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（附加）意外（伤害）医疗费用保险</w:t>
            </w:r>
          </w:p>
        </w:tc>
        <w:tc>
          <w:tcPr>
            <w:tcW w:w="45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被保险人遭受意外伤害的医疗责任</w:t>
            </w:r>
          </w:p>
        </w:tc>
        <w:tc>
          <w:tcPr>
            <w:tcW w:w="13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2万元/人</w:t>
            </w:r>
          </w:p>
        </w:tc>
      </w:tr>
      <w:tr>
        <w:tblPrEx>
          <w:tblCellMar>
            <w:top w:w="0" w:type="dxa"/>
            <w:left w:w="0" w:type="dxa"/>
            <w:bottom w:w="0" w:type="dxa"/>
            <w:right w:w="0" w:type="dxa"/>
          </w:tblCellMar>
        </w:tblPrEx>
        <w:trPr>
          <w:trHeight w:val="579" w:hRule="atLeast"/>
          <w:jc w:val="center"/>
        </w:trPr>
        <w:tc>
          <w:tcPr>
            <w:tcW w:w="3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团体重大疾病保险（一年期）</w:t>
            </w:r>
          </w:p>
        </w:tc>
        <w:tc>
          <w:tcPr>
            <w:tcW w:w="45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被保险人在保险期间首次确诊重大疾病</w:t>
            </w:r>
          </w:p>
        </w:tc>
        <w:tc>
          <w:tcPr>
            <w:tcW w:w="13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30万元/人</w:t>
            </w:r>
          </w:p>
        </w:tc>
      </w:tr>
      <w:tr>
        <w:tblPrEx>
          <w:tblCellMar>
            <w:top w:w="0" w:type="dxa"/>
            <w:left w:w="0" w:type="dxa"/>
            <w:bottom w:w="0" w:type="dxa"/>
            <w:right w:w="0" w:type="dxa"/>
          </w:tblCellMar>
        </w:tblPrEx>
        <w:trPr>
          <w:trHeight w:val="628" w:hRule="atLeast"/>
          <w:jc w:val="center"/>
        </w:trPr>
        <w:tc>
          <w:tcPr>
            <w:tcW w:w="3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（附加）重大疾病轻症保障</w:t>
            </w:r>
          </w:p>
        </w:tc>
        <w:tc>
          <w:tcPr>
            <w:tcW w:w="45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被保险人在保险期间首次确诊重大疾病轻症</w:t>
            </w:r>
          </w:p>
        </w:tc>
        <w:tc>
          <w:tcPr>
            <w:tcW w:w="13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pacing w:val="-4"/>
                <w:sz w:val="21"/>
                <w:szCs w:val="21"/>
                <w:highlight w:val="none"/>
              </w:rPr>
              <w:t>5万元/人</w:t>
            </w:r>
          </w:p>
        </w:tc>
      </w:tr>
      <w:tr>
        <w:tblPrEx>
          <w:tblCellMar>
            <w:top w:w="0" w:type="dxa"/>
            <w:left w:w="0" w:type="dxa"/>
            <w:bottom w:w="0" w:type="dxa"/>
            <w:right w:w="0" w:type="dxa"/>
          </w:tblCellMar>
        </w:tblPrEx>
        <w:trPr>
          <w:trHeight w:val="638" w:hRule="atLeast"/>
          <w:jc w:val="center"/>
        </w:trPr>
        <w:tc>
          <w:tcPr>
            <w:tcW w:w="3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（附加）疾病住院医疗保险</w:t>
            </w:r>
          </w:p>
        </w:tc>
        <w:tc>
          <w:tcPr>
            <w:tcW w:w="45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被保险人因疾病住院治疗产生的医疗费用</w:t>
            </w:r>
          </w:p>
        </w:tc>
        <w:tc>
          <w:tcPr>
            <w:tcW w:w="13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
                <w:color w:val="auto"/>
                <w:sz w:val="21"/>
                <w:szCs w:val="21"/>
                <w:highlight w:val="none"/>
              </w:rPr>
            </w:pPr>
            <w:r>
              <w:rPr>
                <w:rFonts w:hint="eastAsia" w:ascii="宋体" w:hAnsi="宋体" w:eastAsia="宋体" w:cs="宋体"/>
                <w:color w:val="auto"/>
                <w:spacing w:val="-4"/>
                <w:sz w:val="21"/>
                <w:szCs w:val="21"/>
                <w:highlight w:val="none"/>
              </w:rPr>
              <w:t>2万元/人</w:t>
            </w:r>
          </w:p>
        </w:tc>
      </w:tr>
    </w:tbl>
    <w:p>
      <w:pPr>
        <w:keepNext w:val="0"/>
        <w:keepLines w:val="0"/>
        <w:pageBreakBefore w:val="0"/>
        <w:kinsoku/>
        <w:wordWrap/>
        <w:overflowPunct/>
        <w:topLinePunct w:val="0"/>
        <w:autoSpaceDE/>
        <w:autoSpaceDN/>
        <w:bidi w:val="0"/>
        <w:snapToGrid/>
        <w:spacing w:line="500" w:lineRule="exact"/>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相关险种的保险责任条款以</w:t>
      </w:r>
      <w:r>
        <w:rPr>
          <w:rFonts w:hint="eastAsia" w:ascii="宋体" w:hAnsi="宋体" w:cs="宋体"/>
          <w:b/>
          <w:color w:val="auto"/>
          <w:sz w:val="21"/>
          <w:szCs w:val="21"/>
          <w:highlight w:val="none"/>
          <w:lang w:eastAsia="zh-CN"/>
        </w:rPr>
        <w:t>成交人</w:t>
      </w:r>
      <w:r>
        <w:rPr>
          <w:rFonts w:hint="eastAsia" w:ascii="宋体" w:hAnsi="宋体" w:eastAsia="宋体" w:cs="宋体"/>
          <w:b/>
          <w:color w:val="auto"/>
          <w:sz w:val="21"/>
          <w:szCs w:val="21"/>
          <w:highlight w:val="none"/>
        </w:rPr>
        <w:t>经过银保监会报备的险种责任为准。其中重大疾病及轻症种类不得少于中国保险行业协会2020年新修订的《重大疾病保险的疾病定义使用规范》规定（若有更新、或被废止，以最新文件为准）的恶性肿瘤等28种重大疾病和3种轻症。</w:t>
      </w:r>
    </w:p>
    <w:p>
      <w:pPr>
        <w:pStyle w:val="2"/>
        <w:keepNext w:val="0"/>
        <w:keepLines w:val="0"/>
        <w:pageBreakBefore w:val="0"/>
        <w:kinsoku/>
        <w:wordWrap/>
        <w:overflowPunct/>
        <w:topLinePunct w:val="0"/>
        <w:autoSpaceDE/>
        <w:autoSpaceDN/>
        <w:bidi w:val="0"/>
        <w:snapToGrid/>
        <w:spacing w:line="500" w:lineRule="exact"/>
        <w:ind w:firstLine="482"/>
        <w:rPr>
          <w:rFonts w:hint="eastAsia" w:ascii="宋体" w:hAnsi="宋体" w:eastAsia="宋体" w:cs="宋体"/>
          <w:b w:val="0"/>
          <w:bCs/>
          <w:color w:val="auto"/>
          <w:sz w:val="21"/>
          <w:szCs w:val="21"/>
          <w:highlight w:val="none"/>
          <w:lang w:eastAsia="zh-CN"/>
        </w:rPr>
      </w:pP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lang w:val="en-US" w:eastAsia="zh-CN"/>
        </w:rPr>
        <w:t>2</w:t>
      </w:r>
      <w:r>
        <w:rPr>
          <w:rFonts w:hint="eastAsia" w:ascii="宋体" w:hAnsi="宋体" w:eastAsia="宋体" w:cs="宋体"/>
          <w:b w:val="0"/>
          <w:bCs/>
          <w:color w:val="auto"/>
          <w:sz w:val="21"/>
          <w:szCs w:val="21"/>
          <w:highlight w:val="none"/>
          <w:lang w:eastAsia="zh-CN"/>
        </w:rPr>
        <w:t>）团体人身保险</w:t>
      </w:r>
    </w:p>
    <w:tbl>
      <w:tblPr>
        <w:tblStyle w:val="18"/>
        <w:tblW w:w="9799" w:type="dxa"/>
        <w:jc w:val="center"/>
        <w:tblLayout w:type="fixed"/>
        <w:tblCellMar>
          <w:top w:w="0" w:type="dxa"/>
          <w:left w:w="0" w:type="dxa"/>
          <w:bottom w:w="0" w:type="dxa"/>
          <w:right w:w="0" w:type="dxa"/>
        </w:tblCellMar>
      </w:tblPr>
      <w:tblGrid>
        <w:gridCol w:w="3810"/>
        <w:gridCol w:w="4592"/>
        <w:gridCol w:w="1397"/>
      </w:tblGrid>
      <w:tr>
        <w:tblPrEx>
          <w:tblCellMar>
            <w:top w:w="0" w:type="dxa"/>
            <w:left w:w="0" w:type="dxa"/>
            <w:bottom w:w="0" w:type="dxa"/>
            <w:right w:w="0" w:type="dxa"/>
          </w:tblCellMar>
        </w:tblPrEx>
        <w:trPr>
          <w:trHeight w:val="319" w:hRule="atLeast"/>
          <w:jc w:val="center"/>
        </w:trPr>
        <w:tc>
          <w:tcPr>
            <w:tcW w:w="3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保险险种</w:t>
            </w:r>
          </w:p>
        </w:tc>
        <w:tc>
          <w:tcPr>
            <w:tcW w:w="45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保险责任</w:t>
            </w:r>
          </w:p>
        </w:tc>
        <w:tc>
          <w:tcPr>
            <w:tcW w:w="13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保险金额</w:t>
            </w:r>
          </w:p>
        </w:tc>
      </w:tr>
      <w:tr>
        <w:tblPrEx>
          <w:tblCellMar>
            <w:top w:w="0" w:type="dxa"/>
            <w:left w:w="0" w:type="dxa"/>
            <w:bottom w:w="0" w:type="dxa"/>
            <w:right w:w="0" w:type="dxa"/>
          </w:tblCellMar>
        </w:tblPrEx>
        <w:trPr>
          <w:trHeight w:val="327" w:hRule="atLeast"/>
          <w:jc w:val="center"/>
        </w:trPr>
        <w:tc>
          <w:tcPr>
            <w:tcW w:w="3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团体人身意外伤害保险</w:t>
            </w:r>
          </w:p>
        </w:tc>
        <w:tc>
          <w:tcPr>
            <w:tcW w:w="45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被保险人遭受意外伤害死亡或伤残</w:t>
            </w:r>
          </w:p>
        </w:tc>
        <w:tc>
          <w:tcPr>
            <w:tcW w:w="13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30万元/人</w:t>
            </w:r>
          </w:p>
        </w:tc>
      </w:tr>
      <w:tr>
        <w:tblPrEx>
          <w:tblCellMar>
            <w:top w:w="0" w:type="dxa"/>
            <w:left w:w="0" w:type="dxa"/>
            <w:bottom w:w="0" w:type="dxa"/>
            <w:right w:w="0" w:type="dxa"/>
          </w:tblCellMar>
        </w:tblPrEx>
        <w:trPr>
          <w:trHeight w:val="628" w:hRule="atLeast"/>
          <w:jc w:val="center"/>
        </w:trPr>
        <w:tc>
          <w:tcPr>
            <w:tcW w:w="3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（附加）意外（伤害）医疗费用保险</w:t>
            </w:r>
          </w:p>
        </w:tc>
        <w:tc>
          <w:tcPr>
            <w:tcW w:w="45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被保险人遭受意外伤害的医疗责任</w:t>
            </w:r>
          </w:p>
        </w:tc>
        <w:tc>
          <w:tcPr>
            <w:tcW w:w="13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2万元/人</w:t>
            </w:r>
          </w:p>
        </w:tc>
      </w:tr>
      <w:tr>
        <w:tblPrEx>
          <w:tblCellMar>
            <w:top w:w="0" w:type="dxa"/>
            <w:left w:w="0" w:type="dxa"/>
            <w:bottom w:w="0" w:type="dxa"/>
            <w:right w:w="0" w:type="dxa"/>
          </w:tblCellMar>
        </w:tblPrEx>
        <w:trPr>
          <w:trHeight w:val="579" w:hRule="atLeast"/>
          <w:jc w:val="center"/>
        </w:trPr>
        <w:tc>
          <w:tcPr>
            <w:tcW w:w="3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团体重大疾病保险（一年期）</w:t>
            </w:r>
          </w:p>
        </w:tc>
        <w:tc>
          <w:tcPr>
            <w:tcW w:w="45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被保险人在保险期间首次确诊重大疾病</w:t>
            </w:r>
          </w:p>
        </w:tc>
        <w:tc>
          <w:tcPr>
            <w:tcW w:w="13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15万元/人</w:t>
            </w:r>
          </w:p>
        </w:tc>
      </w:tr>
      <w:tr>
        <w:tblPrEx>
          <w:tblCellMar>
            <w:top w:w="0" w:type="dxa"/>
            <w:left w:w="0" w:type="dxa"/>
            <w:bottom w:w="0" w:type="dxa"/>
            <w:right w:w="0" w:type="dxa"/>
          </w:tblCellMar>
        </w:tblPrEx>
        <w:trPr>
          <w:trHeight w:val="638" w:hRule="atLeast"/>
          <w:jc w:val="center"/>
        </w:trPr>
        <w:tc>
          <w:tcPr>
            <w:tcW w:w="3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（附加）疾病住院津贴保险</w:t>
            </w:r>
          </w:p>
        </w:tc>
        <w:tc>
          <w:tcPr>
            <w:tcW w:w="45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被保险人疾病住院医疗津贴</w:t>
            </w:r>
          </w:p>
        </w:tc>
        <w:tc>
          <w:tcPr>
            <w:tcW w:w="13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spacing w:line="500" w:lineRule="exact"/>
              <w:jc w:val="center"/>
              <w:rPr>
                <w:rFonts w:hint="eastAsia" w:ascii="宋体" w:hAnsi="宋体" w:eastAsia="宋体" w:cs="宋体"/>
                <w:b/>
                <w:color w:val="auto"/>
                <w:sz w:val="21"/>
                <w:szCs w:val="21"/>
                <w:highlight w:val="none"/>
              </w:rPr>
            </w:pPr>
            <w:r>
              <w:rPr>
                <w:rFonts w:hint="eastAsia" w:ascii="宋体" w:hAnsi="宋体" w:eastAsia="宋体" w:cs="宋体"/>
                <w:color w:val="auto"/>
                <w:spacing w:val="-4"/>
                <w:sz w:val="21"/>
                <w:szCs w:val="21"/>
                <w:highlight w:val="none"/>
              </w:rPr>
              <w:t>100元/天</w:t>
            </w:r>
          </w:p>
        </w:tc>
      </w:tr>
    </w:tbl>
    <w:p>
      <w:pPr>
        <w:keepNext w:val="0"/>
        <w:keepLines w:val="0"/>
        <w:pageBreakBefore w:val="0"/>
        <w:kinsoku/>
        <w:wordWrap/>
        <w:overflowPunct/>
        <w:topLinePunct w:val="0"/>
        <w:autoSpaceDE/>
        <w:autoSpaceDN/>
        <w:bidi w:val="0"/>
        <w:snapToGrid/>
        <w:spacing w:line="500" w:lineRule="exact"/>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相关险种的保险责任条款以</w:t>
      </w:r>
      <w:r>
        <w:rPr>
          <w:rFonts w:hint="eastAsia" w:ascii="宋体" w:hAnsi="宋体" w:cs="宋体"/>
          <w:b/>
          <w:color w:val="auto"/>
          <w:sz w:val="21"/>
          <w:szCs w:val="21"/>
          <w:highlight w:val="none"/>
          <w:lang w:eastAsia="zh-CN"/>
        </w:rPr>
        <w:t>成交人</w:t>
      </w:r>
      <w:r>
        <w:rPr>
          <w:rFonts w:hint="eastAsia" w:ascii="宋体" w:hAnsi="宋体" w:eastAsia="宋体" w:cs="宋体"/>
          <w:b/>
          <w:color w:val="auto"/>
          <w:sz w:val="21"/>
          <w:szCs w:val="21"/>
          <w:highlight w:val="none"/>
        </w:rPr>
        <w:t>经过银保监会报备的险种责任为准。其中重大疾病及轻症种类不得少于中国保险行业协会2020年新修订的《重大疾病保险的疾病定义使用规范》规定（若有更新、或被废止，以最新文件为准）的恶性肿瘤等28种重大疾病。</w:t>
      </w:r>
    </w:p>
    <w:p>
      <w:pPr>
        <w:keepNext w:val="0"/>
        <w:keepLines w:val="0"/>
        <w:pageBreakBefore w:val="0"/>
        <w:kinsoku/>
        <w:wordWrap/>
        <w:overflowPunct/>
        <w:topLinePunct w:val="0"/>
        <w:autoSpaceDE/>
        <w:autoSpaceDN/>
        <w:bidi w:val="0"/>
        <w:snapToGrid/>
        <w:spacing w:line="500" w:lineRule="exact"/>
        <w:ind w:firstLine="422" w:firstLineChars="200"/>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4.其他要求</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（1）二次手术费用</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采购人在保险期间内，发生保险责任范围内的意外伤害时，如需要二次手术（如骨折后的钢板拆除手术）所生产的医疗费用，</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自采购人意外伤害发生之日起一年内在责任限额内负责赔偿。</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（2）伤残赔付标准</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对采购人因意外事故导致残疾的，</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根据银保监会要求，按最新的《人身保险伤残评定标准》赔付。</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（3）意外急救责任</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采购人因意外伤害急救花费的医疗费用，不受指定医院的有关限制，但在情况稳定后应转入指定医院或县及县（或二级）以上医院治疗。</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承担采购人因医疗急救而产生的1000元以下医疗费用（包含基本医疗保险规定范围外的自费医疗费用，救护车、担架等费用除外）。</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（4）医疗费用凭证</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采购人因意外事故发生的门诊、住院费用，经社保部门报销后，采购人可凭社保报销部门（或医院）开具的分割单及发票原件或复印件（或相关证明）代替原始医疗凭证向</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索赔，</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承担相应的保险责任。</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（5）重大疾病项目包括并不得少于中国保险行业协会2020年新修订的《重大疾病保险的疾病定义使用规范》规定（若有更新、或被废止，以最新文件为准）的恶性肿瘤等28种重大疾病和3种轻症。</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（6）重大疾病、疾病住院均无等待期，以保险期内首次病理确诊作为索赔基础，既往体检报告或病历中有病因不得作为拒绝赔付的理由。</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（7）</w:t>
      </w:r>
      <w:r>
        <w:rPr>
          <w:rFonts w:hint="eastAsia" w:ascii="宋体" w:hAnsi="宋体" w:eastAsia="宋体" w:cs="宋体"/>
          <w:bCs/>
          <w:color w:val="auto"/>
          <w:sz w:val="21"/>
          <w:szCs w:val="21"/>
          <w:highlight w:val="none"/>
        </w:rPr>
        <w:t>免赔额、给付比例和免赔天数</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团体补充医疗保险：</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①意外医疗费用保险每人每次免赔额：RMB 200元；</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②意外医疗费用保险给付比例:90%；</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③疾病住医疗保险每人每次免赔额：RMB 500元；</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④疾病住院医疗费用保险给付比例：80%。</w:t>
      </w:r>
    </w:p>
    <w:p>
      <w:pPr>
        <w:pStyle w:val="2"/>
        <w:keepNext w:val="0"/>
        <w:keepLines w:val="0"/>
        <w:pageBreakBefore w:val="0"/>
        <w:kinsoku/>
        <w:wordWrap/>
        <w:overflowPunct/>
        <w:topLinePunct w:val="0"/>
        <w:autoSpaceDE/>
        <w:autoSpaceDN/>
        <w:bidi w:val="0"/>
        <w:snapToGrid/>
        <w:spacing w:line="500" w:lineRule="exact"/>
        <w:ind w:firstLineChars="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eastAsia="zh-CN"/>
        </w:rPr>
        <w:t>团体人身保险</w:t>
      </w:r>
      <w:r>
        <w:rPr>
          <w:rFonts w:hint="eastAsia" w:ascii="宋体" w:hAnsi="宋体" w:eastAsia="宋体" w:cs="宋体"/>
          <w:color w:val="auto"/>
          <w:kern w:val="2"/>
          <w:sz w:val="21"/>
          <w:szCs w:val="21"/>
          <w:highlight w:val="none"/>
        </w:rPr>
        <w:t>：</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①意外医疗费用保险每人每次免赔额：RMB 200元；</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②意外医疗费用保险给付比例:90%；</w:t>
      </w:r>
    </w:p>
    <w:p>
      <w:pPr>
        <w:keepNext w:val="0"/>
        <w:keepLines w:val="0"/>
        <w:pageBreakBefore w:val="0"/>
        <w:kinsoku/>
        <w:wordWrap/>
        <w:overflowPunct/>
        <w:topLinePunct w:val="0"/>
        <w:autoSpaceDE/>
        <w:autoSpaceDN/>
        <w:bidi w:val="0"/>
        <w:snapToGrid/>
        <w:spacing w:line="500" w:lineRule="exact"/>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③疾病住院津贴每人每次免赔天数：3天，累计最高赔偿180天</w:t>
      </w:r>
      <w:r>
        <w:rPr>
          <w:rFonts w:hint="eastAsia" w:ascii="宋体" w:hAnsi="宋体" w:eastAsia="宋体" w:cs="宋体"/>
          <w:color w:val="auto"/>
          <w:sz w:val="21"/>
          <w:szCs w:val="21"/>
          <w:highlight w:val="none"/>
          <w:lang w:eastAsia="zh-CN"/>
        </w:rPr>
        <w:t>。</w:t>
      </w:r>
    </w:p>
    <w:p>
      <w:pPr>
        <w:widowControl/>
        <w:spacing w:before="180" w:line="500" w:lineRule="exact"/>
        <w:ind w:firstLine="482"/>
        <w:jc w:val="left"/>
        <w:rPr>
          <w:rFonts w:hint="eastAsia" w:ascii="宋体" w:hAnsi="宋体" w:cs="宋体"/>
          <w:b/>
          <w:color w:val="auto"/>
          <w:kern w:val="0"/>
          <w:szCs w:val="21"/>
          <w:highlight w:val="none"/>
        </w:rPr>
      </w:pPr>
      <w:r>
        <w:rPr>
          <w:rFonts w:hint="eastAsia" w:ascii="宋体" w:hAnsi="宋体" w:cs="宋体"/>
          <w:b/>
          <w:color w:val="auto"/>
          <w:kern w:val="0"/>
          <w:szCs w:val="21"/>
          <w:highlight w:val="none"/>
        </w:rPr>
        <w:t>三、商务条件</w:t>
      </w:r>
      <w:bookmarkEnd w:id="16"/>
      <w:bookmarkEnd w:id="17"/>
      <w:bookmarkEnd w:id="18"/>
      <w:bookmarkStart w:id="24" w:name="_Toc496882959"/>
      <w:bookmarkStart w:id="25" w:name="_Toc482373835"/>
      <w:bookmarkStart w:id="26" w:name="_Toc483211390"/>
      <w:r>
        <w:rPr>
          <w:rFonts w:hint="eastAsia" w:ascii="宋体" w:hAnsi="宋体" w:cs="宋体"/>
          <w:b/>
          <w:color w:val="auto"/>
          <w:kern w:val="0"/>
          <w:szCs w:val="21"/>
          <w:highlight w:val="none"/>
        </w:rPr>
        <w:t>（★以下内容均为不允许负偏离的实质性要求）</w:t>
      </w:r>
    </w:p>
    <w:p>
      <w:pPr>
        <w:spacing w:line="500" w:lineRule="exact"/>
        <w:ind w:left="399" w:leftChars="190"/>
        <w:rPr>
          <w:rFonts w:hint="eastAsia" w:ascii="宋体" w:hAnsi="宋体" w:cs="宋体"/>
          <w:color w:val="auto"/>
          <w:kern w:val="0"/>
          <w:szCs w:val="21"/>
          <w:highlight w:val="none"/>
        </w:rPr>
      </w:pPr>
      <w:r>
        <w:rPr>
          <w:rFonts w:hint="eastAsia" w:ascii="宋体" w:hAnsi="宋体" w:cs="宋体"/>
          <w:color w:val="auto"/>
          <w:kern w:val="0"/>
          <w:szCs w:val="21"/>
          <w:highlight w:val="none"/>
        </w:rPr>
        <w:t>包：1</w:t>
      </w:r>
    </w:p>
    <w:p>
      <w:pPr>
        <w:spacing w:line="500" w:lineRule="exact"/>
        <w:ind w:left="399" w:leftChars="190"/>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1、服务地点：采购人指定地点。 </w:t>
      </w:r>
    </w:p>
    <w:p>
      <w:pPr>
        <w:spacing w:line="500" w:lineRule="exact"/>
        <w:ind w:left="399" w:leftChars="190"/>
        <w:rPr>
          <w:rFonts w:hint="eastAsia" w:ascii="宋体" w:hAnsi="宋体" w:cs="宋体"/>
          <w:color w:val="auto"/>
          <w:kern w:val="0"/>
          <w:szCs w:val="21"/>
          <w:highlight w:val="none"/>
        </w:rPr>
      </w:pPr>
      <w:r>
        <w:rPr>
          <w:rFonts w:hint="eastAsia" w:ascii="宋体" w:hAnsi="宋体" w:cs="宋体"/>
          <w:color w:val="auto"/>
          <w:kern w:val="0"/>
          <w:szCs w:val="21"/>
          <w:highlight w:val="none"/>
        </w:rPr>
        <w:t>2、服务期限：12个月，自2023年1月1日零时起至2023年12月31日二十四时止。</w:t>
      </w:r>
    </w:p>
    <w:p>
      <w:pPr>
        <w:spacing w:line="500" w:lineRule="exact"/>
        <w:ind w:left="399" w:leftChars="190"/>
        <w:rPr>
          <w:rFonts w:hint="eastAsia" w:ascii="宋体" w:hAnsi="宋体" w:cs="宋体"/>
          <w:color w:val="auto"/>
          <w:kern w:val="0"/>
          <w:szCs w:val="21"/>
          <w:highlight w:val="none"/>
        </w:rPr>
      </w:pPr>
      <w:r>
        <w:rPr>
          <w:rFonts w:hint="eastAsia" w:ascii="宋体" w:hAnsi="宋体" w:cs="宋体"/>
          <w:color w:val="auto"/>
          <w:kern w:val="0"/>
          <w:szCs w:val="21"/>
          <w:highlight w:val="none"/>
        </w:rPr>
        <w:t>3、交付条件：经采购人验收合格。</w:t>
      </w:r>
    </w:p>
    <w:p>
      <w:pPr>
        <w:widowControl/>
        <w:spacing w:line="500" w:lineRule="exact"/>
        <w:ind w:left="420" w:left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4、支付方式：采购人于保险单生效之日起15个工作日内一次性支付保险费。</w:t>
      </w:r>
    </w:p>
    <w:p>
      <w:pPr>
        <w:widowControl/>
        <w:spacing w:line="500" w:lineRule="exact"/>
        <w:ind w:left="420" w:left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5、履约保证金：该项目履约保证金为合同总金额的1%，</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为中小微企业履约保证金为合同总金额的0.5%。</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说明：收取履约保证金的，</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应在签订采购合同时，向采购人提交履约保证金；双方并在采购合同中约定履约保证金退还的方式、时间、条件和不予退还（没收）的情形，明确逾期退还履约保证金的违约责任。</w:t>
      </w:r>
    </w:p>
    <w:p>
      <w:pPr>
        <w:widowControl/>
        <w:spacing w:line="50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6、验收方式：保险单生效并经采购人确认。验收标准按符合国家或行业或地方标准、</w:t>
      </w:r>
      <w:r>
        <w:rPr>
          <w:rFonts w:hint="eastAsia" w:ascii="宋体" w:hAnsi="宋体" w:cs="宋体"/>
          <w:color w:val="auto"/>
          <w:kern w:val="0"/>
          <w:szCs w:val="21"/>
          <w:highlight w:val="none"/>
          <w:lang w:eastAsia="zh-CN"/>
        </w:rPr>
        <w:t>谈判文件</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eastAsia="zh-CN"/>
        </w:rPr>
        <w:t>响应文件</w:t>
      </w:r>
      <w:r>
        <w:rPr>
          <w:rFonts w:hint="eastAsia" w:ascii="宋体" w:hAnsi="宋体" w:cs="宋体"/>
          <w:color w:val="auto"/>
          <w:kern w:val="0"/>
          <w:szCs w:val="21"/>
          <w:highlight w:val="none"/>
        </w:rPr>
        <w:t>等有关部分内容进行验收。供应商交付的所有服务应符合国家相关部门规定的标准，若发现服务未符合竞</w:t>
      </w:r>
      <w:r>
        <w:rPr>
          <w:rFonts w:hint="eastAsia" w:ascii="宋体" w:hAnsi="宋体" w:cs="宋体"/>
          <w:color w:val="auto"/>
          <w:kern w:val="0"/>
          <w:szCs w:val="21"/>
          <w:highlight w:val="none"/>
          <w:lang w:eastAsia="zh-CN"/>
        </w:rPr>
        <w:t>谈判文件</w:t>
      </w:r>
      <w:r>
        <w:rPr>
          <w:rFonts w:hint="eastAsia" w:ascii="宋体" w:hAnsi="宋体" w:cs="宋体"/>
          <w:color w:val="auto"/>
          <w:kern w:val="0"/>
          <w:szCs w:val="21"/>
          <w:highlight w:val="none"/>
        </w:rPr>
        <w:t>及合同相关条款要求，供应商需立即进行整改。若供应商对不符合招标及合同相关条款要求的服务拒绝整改或已造成影响的，采购人有权要求供应商支付相应的赔偿，造成严重后果的可要求解除合同。</w:t>
      </w:r>
    </w:p>
    <w:p>
      <w:pPr>
        <w:pStyle w:val="8"/>
        <w:spacing w:line="500" w:lineRule="exact"/>
        <w:rPr>
          <w:rFonts w:hint="eastAsia" w:ascii="宋体" w:hAnsi="宋体" w:cs="宋体"/>
          <w:color w:val="auto"/>
          <w:kern w:val="0"/>
          <w:sz w:val="21"/>
          <w:szCs w:val="21"/>
          <w:highlight w:val="none"/>
        </w:rPr>
      </w:pPr>
    </w:p>
    <w:p>
      <w:pPr>
        <w:widowControl/>
        <w:spacing w:before="180" w:line="500" w:lineRule="exact"/>
        <w:ind w:firstLine="316" w:firstLineChars="150"/>
        <w:jc w:val="left"/>
        <w:rPr>
          <w:rFonts w:hint="eastAsia" w:ascii="宋体" w:hAnsi="宋体" w:cs="宋体"/>
          <w:b/>
          <w:color w:val="auto"/>
          <w:kern w:val="0"/>
          <w:szCs w:val="21"/>
          <w:highlight w:val="none"/>
        </w:rPr>
      </w:pPr>
      <w:r>
        <w:rPr>
          <w:rFonts w:hint="eastAsia" w:ascii="宋体" w:hAnsi="宋体" w:cs="宋体"/>
          <w:b/>
          <w:color w:val="auto"/>
          <w:kern w:val="0"/>
          <w:szCs w:val="21"/>
          <w:highlight w:val="none"/>
        </w:rPr>
        <w:t>四、其他事项</w:t>
      </w:r>
      <w:bookmarkEnd w:id="24"/>
      <w:bookmarkEnd w:id="25"/>
      <w:bookmarkEnd w:id="26"/>
      <w:r>
        <w:rPr>
          <w:rFonts w:hint="eastAsia" w:ascii="宋体" w:hAnsi="宋体" w:cs="宋体"/>
          <w:b/>
          <w:color w:val="auto"/>
          <w:kern w:val="0"/>
          <w:szCs w:val="21"/>
          <w:highlight w:val="none"/>
        </w:rPr>
        <w:t>（★以下内容均为不允许负偏离的实质性要求）</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highlight w:val="none"/>
        </w:rPr>
        <w:t>供应商向采购人提供标的所需特殊专用的工具、备件、清单、中文说明书、运输装卸、服务、培训及验收等费用并入报价内。</w:t>
      </w:r>
    </w:p>
    <w:p>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2、本项目不允许</w:t>
      </w:r>
      <w:r>
        <w:rPr>
          <w:rFonts w:hint="eastAsia" w:ascii="宋体" w:hAnsi="宋体"/>
          <w:color w:val="auto"/>
          <w:szCs w:val="21"/>
          <w:highlight w:val="none"/>
          <w:lang w:eastAsia="zh-CN"/>
        </w:rPr>
        <w:t>成交人</w:t>
      </w:r>
      <w:r>
        <w:rPr>
          <w:rFonts w:hint="eastAsia" w:ascii="宋体" w:hAnsi="宋体"/>
          <w:color w:val="auto"/>
          <w:szCs w:val="21"/>
          <w:highlight w:val="none"/>
        </w:rPr>
        <w:t>以任何名义和理由进行转包，如有发现，采购人有权单方终止合同，视为</w:t>
      </w:r>
      <w:r>
        <w:rPr>
          <w:rFonts w:hint="eastAsia" w:ascii="宋体" w:hAnsi="宋体"/>
          <w:color w:val="auto"/>
          <w:szCs w:val="21"/>
          <w:highlight w:val="none"/>
          <w:lang w:eastAsia="zh-CN"/>
        </w:rPr>
        <w:t>成交人</w:t>
      </w:r>
      <w:r>
        <w:rPr>
          <w:rFonts w:hint="eastAsia" w:ascii="宋体" w:hAnsi="宋体"/>
          <w:color w:val="auto"/>
          <w:szCs w:val="21"/>
          <w:highlight w:val="none"/>
        </w:rPr>
        <w:t>违约。</w:t>
      </w:r>
      <w:r>
        <w:rPr>
          <w:rFonts w:hint="eastAsia" w:ascii="宋体" w:hAnsi="宋体"/>
          <w:b/>
          <w:bCs/>
          <w:color w:val="auto"/>
          <w:szCs w:val="21"/>
          <w:highlight w:val="none"/>
        </w:rPr>
        <w:t>若供应商对本</w:t>
      </w:r>
      <w:r>
        <w:rPr>
          <w:rFonts w:hint="eastAsia" w:ascii="宋体" w:hAnsi="宋体"/>
          <w:b/>
          <w:bCs/>
          <w:color w:val="auto"/>
          <w:szCs w:val="21"/>
          <w:highlight w:val="none"/>
          <w:lang w:eastAsia="zh-CN"/>
        </w:rPr>
        <w:t>谈判文件</w:t>
      </w:r>
      <w:r>
        <w:rPr>
          <w:rFonts w:hint="eastAsia" w:ascii="宋体" w:hAnsi="宋体"/>
          <w:b/>
          <w:bCs/>
          <w:color w:val="auto"/>
          <w:szCs w:val="21"/>
          <w:highlight w:val="none"/>
        </w:rPr>
        <w:t>有效响应，但</w:t>
      </w:r>
      <w:r>
        <w:rPr>
          <w:rFonts w:hint="eastAsia" w:ascii="宋体" w:hAnsi="宋体"/>
          <w:b/>
          <w:bCs/>
          <w:color w:val="auto"/>
          <w:szCs w:val="21"/>
          <w:highlight w:val="none"/>
          <w:lang w:eastAsia="zh-CN"/>
        </w:rPr>
        <w:t>成交</w:t>
      </w:r>
      <w:r>
        <w:rPr>
          <w:rFonts w:hint="eastAsia" w:ascii="宋体" w:hAnsi="宋体"/>
          <w:b/>
          <w:bCs/>
          <w:color w:val="auto"/>
          <w:szCs w:val="21"/>
          <w:highlight w:val="none"/>
        </w:rPr>
        <w:t>后若发现其实际情况或其在履约过程中存在与其投标响应内容不符之处，视为提供虚假材料，</w:t>
      </w:r>
      <w:r>
        <w:rPr>
          <w:rFonts w:hint="eastAsia" w:ascii="宋体" w:hAnsi="宋体"/>
          <w:b/>
          <w:bCs/>
          <w:color w:val="auto"/>
          <w:szCs w:val="21"/>
          <w:highlight w:val="none"/>
          <w:lang w:eastAsia="zh-CN"/>
        </w:rPr>
        <w:t>成交</w:t>
      </w:r>
      <w:r>
        <w:rPr>
          <w:rFonts w:hint="eastAsia" w:ascii="宋体" w:hAnsi="宋体"/>
          <w:b/>
          <w:bCs/>
          <w:color w:val="auto"/>
          <w:szCs w:val="21"/>
          <w:highlight w:val="none"/>
        </w:rPr>
        <w:t>无效；合同签署后发现，视为</w:t>
      </w:r>
      <w:r>
        <w:rPr>
          <w:rFonts w:hint="eastAsia" w:ascii="宋体" w:hAnsi="宋体"/>
          <w:b/>
          <w:bCs/>
          <w:color w:val="auto"/>
          <w:szCs w:val="21"/>
          <w:highlight w:val="none"/>
          <w:lang w:eastAsia="zh-CN"/>
        </w:rPr>
        <w:t>成交人</w:t>
      </w:r>
      <w:r>
        <w:rPr>
          <w:rFonts w:hint="eastAsia" w:ascii="宋体" w:hAnsi="宋体"/>
          <w:b/>
          <w:bCs/>
          <w:color w:val="auto"/>
          <w:szCs w:val="21"/>
          <w:highlight w:val="none"/>
        </w:rPr>
        <w:t>违约，</w:t>
      </w:r>
      <w:r>
        <w:rPr>
          <w:rFonts w:hint="eastAsia" w:ascii="宋体" w:hAnsi="宋体"/>
          <w:color w:val="auto"/>
          <w:szCs w:val="21"/>
          <w:highlight w:val="none"/>
        </w:rPr>
        <w:t>采购人有权取消采购合同，如采购人因此而遭致损失的，还应赔偿该损失。如因</w:t>
      </w:r>
      <w:r>
        <w:rPr>
          <w:rFonts w:hint="eastAsia" w:ascii="宋体" w:hAnsi="宋体"/>
          <w:color w:val="auto"/>
          <w:szCs w:val="21"/>
          <w:highlight w:val="none"/>
          <w:lang w:eastAsia="zh-CN"/>
        </w:rPr>
        <w:t>成交人</w:t>
      </w:r>
      <w:r>
        <w:rPr>
          <w:rFonts w:hint="eastAsia" w:ascii="宋体" w:hAnsi="宋体"/>
          <w:color w:val="auto"/>
          <w:szCs w:val="21"/>
          <w:highlight w:val="none"/>
        </w:rPr>
        <w:t>缘故对采购人造成损失的，</w:t>
      </w:r>
      <w:r>
        <w:rPr>
          <w:rFonts w:hint="eastAsia" w:ascii="宋体" w:hAnsi="宋体"/>
          <w:color w:val="auto"/>
          <w:szCs w:val="21"/>
          <w:highlight w:val="none"/>
          <w:lang w:eastAsia="zh-CN"/>
        </w:rPr>
        <w:t>成交人</w:t>
      </w:r>
      <w:r>
        <w:rPr>
          <w:rFonts w:hint="eastAsia" w:ascii="宋体" w:hAnsi="宋体"/>
          <w:color w:val="auto"/>
          <w:szCs w:val="21"/>
          <w:highlight w:val="none"/>
        </w:rPr>
        <w:t>还需支付相应的赔偿。</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3、除</w:t>
      </w:r>
      <w:r>
        <w:rPr>
          <w:rFonts w:hint="eastAsia" w:ascii="宋体" w:hAnsi="宋体"/>
          <w:color w:val="auto"/>
          <w:szCs w:val="21"/>
          <w:highlight w:val="none"/>
          <w:lang w:eastAsia="zh-CN"/>
        </w:rPr>
        <w:t>谈判文件</w:t>
      </w:r>
      <w:r>
        <w:rPr>
          <w:rFonts w:hint="eastAsia" w:ascii="宋体" w:hAnsi="宋体"/>
          <w:color w:val="auto"/>
          <w:szCs w:val="21"/>
          <w:highlight w:val="none"/>
        </w:rPr>
        <w:t>另有规定外，若出现有关法律、法规和规章有强制性规定但</w:t>
      </w:r>
      <w:r>
        <w:rPr>
          <w:rFonts w:hint="eastAsia" w:ascii="宋体" w:hAnsi="宋体"/>
          <w:color w:val="auto"/>
          <w:szCs w:val="21"/>
          <w:highlight w:val="none"/>
          <w:lang w:eastAsia="zh-CN"/>
        </w:rPr>
        <w:t>谈判文件</w:t>
      </w:r>
      <w:r>
        <w:rPr>
          <w:rFonts w:hint="eastAsia" w:ascii="宋体" w:hAnsi="宋体"/>
          <w:color w:val="auto"/>
          <w:szCs w:val="21"/>
          <w:highlight w:val="none"/>
        </w:rPr>
        <w:t>未列明的情形，供应商按照有关法律、法规和规章强制性规定执行。若</w:t>
      </w:r>
      <w:r>
        <w:rPr>
          <w:rFonts w:hint="eastAsia" w:ascii="宋体" w:hAnsi="宋体"/>
          <w:color w:val="auto"/>
          <w:szCs w:val="21"/>
          <w:highlight w:val="none"/>
          <w:lang w:eastAsia="zh-CN"/>
        </w:rPr>
        <w:t>谈判文件</w:t>
      </w:r>
      <w:r>
        <w:rPr>
          <w:rFonts w:hint="eastAsia" w:ascii="宋体" w:hAnsi="宋体"/>
          <w:color w:val="auto"/>
          <w:szCs w:val="21"/>
          <w:highlight w:val="none"/>
        </w:rPr>
        <w:t>未明确且无法律、法规和规章强制性规定的，待采购人与</w:t>
      </w:r>
      <w:r>
        <w:rPr>
          <w:rFonts w:hint="eastAsia" w:ascii="宋体" w:hAnsi="宋体"/>
          <w:color w:val="auto"/>
          <w:szCs w:val="21"/>
          <w:highlight w:val="none"/>
          <w:lang w:eastAsia="zh-CN"/>
        </w:rPr>
        <w:t>成交人</w:t>
      </w:r>
      <w:r>
        <w:rPr>
          <w:rFonts w:hint="eastAsia" w:ascii="宋体" w:hAnsi="宋体"/>
          <w:color w:val="auto"/>
          <w:szCs w:val="21"/>
          <w:highlight w:val="none"/>
        </w:rPr>
        <w:t>签订合同时，由双方协商订立。</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4、</w:t>
      </w:r>
      <w:r>
        <w:rPr>
          <w:rFonts w:hint="eastAsia" w:ascii="宋体" w:hAnsi="宋体"/>
          <w:color w:val="auto"/>
          <w:szCs w:val="21"/>
          <w:highlight w:val="none"/>
          <w:lang w:eastAsia="zh-CN"/>
        </w:rPr>
        <w:t>谈判文件</w:t>
      </w:r>
      <w:r>
        <w:rPr>
          <w:rFonts w:hint="eastAsia" w:ascii="宋体" w:hAnsi="宋体"/>
          <w:color w:val="auto"/>
          <w:szCs w:val="21"/>
          <w:highlight w:val="none"/>
        </w:rPr>
        <w:t>中提及的相关法规政策、规范性文件、标准及相关要求等，若存在已被依法替换、废止等情况或与最新更新的权威规定、标准有冲突的，应以最新的相关规定标准为准。</w:t>
      </w:r>
    </w:p>
    <w:p>
      <w:pPr>
        <w:pStyle w:val="17"/>
        <w:rPr>
          <w:rFonts w:ascii="宋体" w:hAnsi="宋体"/>
          <w:color w:val="auto"/>
          <w:kern w:val="0"/>
          <w:highlight w:val="none"/>
        </w:rPr>
      </w:pPr>
      <w:bookmarkStart w:id="27" w:name="_Toc3991775"/>
      <w:r>
        <w:rPr>
          <w:color w:val="auto"/>
          <w:kern w:val="0"/>
          <w:highlight w:val="none"/>
        </w:rPr>
        <w:br w:type="page"/>
      </w:r>
      <w:r>
        <w:rPr>
          <w:color w:val="auto"/>
          <w:kern w:val="0"/>
          <w:highlight w:val="none"/>
        </w:rPr>
        <w:t>第四章</w:t>
      </w:r>
      <w:r>
        <w:rPr>
          <w:rFonts w:hint="eastAsia"/>
          <w:color w:val="auto"/>
          <w:kern w:val="0"/>
          <w:highlight w:val="none"/>
        </w:rPr>
        <w:t xml:space="preserve">  </w:t>
      </w:r>
      <w:r>
        <w:rPr>
          <w:color w:val="auto"/>
          <w:kern w:val="0"/>
          <w:highlight w:val="none"/>
        </w:rPr>
        <w:t>合同主要条款及格式</w:t>
      </w:r>
      <w:bookmarkEnd w:id="27"/>
    </w:p>
    <w:p>
      <w:pPr>
        <w:widowControl/>
        <w:jc w:val="center"/>
        <w:rPr>
          <w:rFonts w:ascii="宋体" w:hAnsi="宋体" w:cs="宋体"/>
          <w:color w:val="auto"/>
          <w:kern w:val="0"/>
          <w:sz w:val="24"/>
          <w:highlight w:val="none"/>
        </w:rPr>
      </w:pPr>
      <w:r>
        <w:rPr>
          <w:rFonts w:ascii="宋体" w:hAnsi="宋体" w:cs="宋体"/>
          <w:b/>
          <w:bCs/>
          <w:color w:val="auto"/>
          <w:kern w:val="0"/>
          <w:sz w:val="24"/>
          <w:highlight w:val="none"/>
        </w:rPr>
        <w:t>编制说明</w:t>
      </w:r>
    </w:p>
    <w:p>
      <w:pPr>
        <w:widowControl/>
        <w:spacing w:line="435" w:lineRule="atLeast"/>
        <w:jc w:val="left"/>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1、签订合同应遵守《中华人民共和国政府采购法》、《中华人民共和国</w:t>
      </w:r>
      <w:r>
        <w:rPr>
          <w:rFonts w:hint="eastAsia" w:ascii="宋体" w:hAnsi="宋体" w:cs="宋体"/>
          <w:b/>
          <w:bCs/>
          <w:color w:val="auto"/>
          <w:kern w:val="0"/>
          <w:szCs w:val="21"/>
          <w:highlight w:val="none"/>
          <w:lang w:eastAsia="zh-CN"/>
        </w:rPr>
        <w:t>民法典</w:t>
      </w:r>
      <w:r>
        <w:rPr>
          <w:rFonts w:hint="eastAsia" w:ascii="宋体" w:hAnsi="宋体" w:cs="宋体"/>
          <w:b/>
          <w:bCs/>
          <w:color w:val="auto"/>
          <w:kern w:val="0"/>
          <w:szCs w:val="21"/>
          <w:highlight w:val="none"/>
        </w:rPr>
        <w:t>》。</w:t>
      </w:r>
    </w:p>
    <w:p>
      <w:pPr>
        <w:widowControl/>
        <w:spacing w:line="435" w:lineRule="atLeast"/>
        <w:jc w:val="left"/>
        <w:rPr>
          <w:rFonts w:hint="eastAsia" w:ascii="宋体" w:hAnsi="宋体" w:cs="宋体"/>
          <w:b/>
          <w:bCs/>
          <w:color w:val="auto"/>
          <w:kern w:val="0"/>
          <w:szCs w:val="21"/>
          <w:highlight w:val="none"/>
        </w:rPr>
      </w:pPr>
      <w:r>
        <w:rPr>
          <w:rFonts w:hint="eastAsia" w:ascii="宋体" w:hAnsi="宋体" w:cs="宋体"/>
          <w:b/>
          <w:bCs/>
          <w:color w:val="auto"/>
          <w:kern w:val="0"/>
          <w:szCs w:val="21"/>
          <w:highlight w:val="none"/>
          <w:lang w:val="en-US" w:eastAsia="zh-CN"/>
        </w:rPr>
        <w:t>2、签订合同时，采购人与成交供应商应结合谈判文件第三章规定及响应文件有效响应填列相应内容，双方均不得对规定进行变更或调整；谈判文件未作规定的条款，双方可通过友好协商进行约定。</w:t>
      </w:r>
    </w:p>
    <w:p>
      <w:pPr>
        <w:widowControl/>
        <w:spacing w:line="435" w:lineRule="atLeast"/>
        <w:jc w:val="left"/>
        <w:rPr>
          <w:rFonts w:hint="eastAsia" w:ascii="宋体" w:hAnsi="宋体" w:cs="宋体"/>
          <w:b/>
          <w:bCs/>
          <w:color w:val="auto"/>
          <w:kern w:val="0"/>
          <w:szCs w:val="21"/>
          <w:highlight w:val="none"/>
        </w:rPr>
      </w:pPr>
      <w:r>
        <w:rPr>
          <w:rFonts w:hint="eastAsia" w:ascii="宋体" w:hAnsi="宋体" w:cs="宋体"/>
          <w:b/>
          <w:bCs/>
          <w:color w:val="auto"/>
          <w:kern w:val="0"/>
          <w:szCs w:val="21"/>
          <w:highlight w:val="none"/>
          <w:lang w:val="en-US" w:eastAsia="zh-CN"/>
        </w:rPr>
        <w:t>3.本章节所附的合同主要条款及格式为参考文本，若文本中的内容与谈判文件第三章规定、响应文件有效响应以及有关法律、法规和规章强制性规定有所冲突，按照谈判文件第三章规定、响应文件有效响应以及有关法律、法规和规章强制性规定执行。</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甲方：（采购人全称）</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乙方：（成交供应商全称）</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根据项目编号为     的（填写“项目名称”）项目（以下简称：“本项目”）的谈判结果，乙方为成交供应商。现经甲乙双方友好协商，就以下事项达成一致并签订本合同：</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1、下列合同文件是构成本合同不可分割的部分：</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1.1合同条款；</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1.2谈判文件、乙方的响应文件；</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1.3其他文件或材料：无。（根据实际情况填写需要增加的内容）。</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2、合同标的</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（根据实际情况填写，可以是表格或文字描述）。</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3、合同总金额</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3.1合同总金额为人民币大写：      元（￥       ）。</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4、合同标的交付时间、地点和条件</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4.1交付时间：          ；</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4.2交付地点：          ；</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4.3交付条件：          ；</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5、合同标的应符合谈判文件、乙方响应文件的规定或约定，具体如下：</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（根据实际情况填写，可以是表格或文字描述）。</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6、验收</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6.1验收应按照谈判文件、乙方响应文件的规定或约定进行，具体如下：</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（根据实际情况填写，可以是表格或文字描述）。</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6.2本项目是否邀请其他供应商参与验收：</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□不邀请。□邀请，具体如下：（按照谈判文件规定填写）。</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7、合同款项的支付应按照谈判文件的规定进行，具体如下：</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（根据实际情况填写，可以是表格或文字描述，包括一次性支付或分期支付等）。</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8、履约保证金</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□无。□有，具体如下：（按照谈判文件规定填写）。</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9、合同有效期</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（根据实际情况填写，可以是表格或文字描述）。</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10、违约责任</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（根据实际情况填写，可以是表格或文字描述）。</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11、知识产权</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11.2若乙方提供的采购标的不符合国家知识产权法律、法规的规定或被有关主管机关认定为假冒伪劣品，则乙方</w:t>
      </w:r>
      <w:r>
        <w:rPr>
          <w:rFonts w:hint="eastAsia" w:ascii="宋体" w:hAnsi="宋体" w:cs="宋体"/>
          <w:color w:val="auto"/>
          <w:kern w:val="0"/>
          <w:szCs w:val="21"/>
          <w:highlight w:val="none"/>
          <w:lang w:eastAsia="zh-CN"/>
        </w:rPr>
        <w:t>成交</w:t>
      </w:r>
      <w:r>
        <w:rPr>
          <w:rFonts w:hint="eastAsia" w:ascii="宋体" w:hAnsi="宋体" w:cs="宋体"/>
          <w:color w:val="auto"/>
          <w:kern w:val="0"/>
          <w:szCs w:val="21"/>
          <w:highlight w:val="none"/>
        </w:rPr>
        <w:t>资格将被取消；甲方还将按照有关法律、法规和规章的规定进行处理，具体如下：（根据实际情况填写）。</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12、解决争议的方法</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12.1甲、乙双方协商解决。</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12.2若协商解决不成，则通过下列途径之一解决：</w:t>
      </w:r>
    </w:p>
    <w:p>
      <w:pPr>
        <w:widowControl/>
        <w:spacing w:line="435" w:lineRule="atLeast"/>
        <w:ind w:firstLine="525" w:firstLineChars="25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提交仲裁委员会仲裁，具体如下：（根据实际情况填写）。</w:t>
      </w:r>
    </w:p>
    <w:p>
      <w:pPr>
        <w:widowControl/>
        <w:spacing w:line="435" w:lineRule="atLeast"/>
        <w:ind w:firstLine="525" w:firstLineChars="25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向人民法院提起诉讼，具体如下：（根据实际情况填写）。</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13、不可抗力</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13.2本合同中的不可抗力指不能预见、不能避免、不能克服的客观情况，包括但不限于：自然灾害如地震、台风、洪水、火灾及政府行为、法律规定或其适用的变化或其他任何无法预见、避免或控制的事件。</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14、合同条款</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（根据实际情况填写）。</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15、其他约定</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15.1合同文件与本合同具有同等法律效力。</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15.2本合同未尽事宜，双方可另行补充。</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15.3本合同自签订之日起生效。</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15.4</w:t>
      </w:r>
      <w:r>
        <w:rPr>
          <w:rFonts w:hint="eastAsia"/>
          <w:color w:val="auto"/>
          <w:highlight w:val="none"/>
        </w:rPr>
        <w:t>合同一式</w:t>
      </w:r>
      <w:r>
        <w:rPr>
          <w:rFonts w:hint="eastAsia"/>
          <w:color w:val="auto"/>
          <w:highlight w:val="none"/>
          <w:u w:val="single"/>
        </w:rPr>
        <w:t>（填写具体份数）</w:t>
      </w:r>
      <w:r>
        <w:rPr>
          <w:rFonts w:hint="eastAsia"/>
          <w:color w:val="auto"/>
          <w:highlight w:val="none"/>
        </w:rPr>
        <w:t>份，经双方授权代表签字并盖章后生效。甲方、乙方各执</w:t>
      </w:r>
      <w:r>
        <w:rPr>
          <w:rFonts w:hint="eastAsia"/>
          <w:color w:val="auto"/>
          <w:highlight w:val="none"/>
          <w:u w:val="single"/>
        </w:rPr>
        <w:t>（填写具体份数）</w:t>
      </w:r>
      <w:r>
        <w:rPr>
          <w:rFonts w:hint="eastAsia"/>
          <w:color w:val="auto"/>
          <w:highlight w:val="none"/>
        </w:rPr>
        <w:t>份，送</w:t>
      </w:r>
      <w:r>
        <w:rPr>
          <w:rFonts w:hint="eastAsia"/>
          <w:color w:val="auto"/>
          <w:highlight w:val="none"/>
          <w:u w:val="single"/>
        </w:rPr>
        <w:t>（填写需要备案的监管部门的全称）</w:t>
      </w:r>
      <w:r>
        <w:rPr>
          <w:rFonts w:hint="eastAsia"/>
          <w:color w:val="auto"/>
          <w:highlight w:val="none"/>
        </w:rPr>
        <w:t>备案</w:t>
      </w:r>
      <w:r>
        <w:rPr>
          <w:rFonts w:hint="eastAsia"/>
          <w:color w:val="auto"/>
          <w:highlight w:val="none"/>
          <w:u w:val="single"/>
        </w:rPr>
        <w:t>（填写具体份数）</w:t>
      </w:r>
      <w:r>
        <w:rPr>
          <w:rFonts w:hint="eastAsia"/>
          <w:color w:val="auto"/>
          <w:highlight w:val="none"/>
        </w:rPr>
        <w:t>份，送</w:t>
      </w:r>
      <w:r>
        <w:rPr>
          <w:rFonts w:hint="eastAsia"/>
          <w:color w:val="auto"/>
          <w:highlight w:val="none"/>
          <w:u w:val="single"/>
        </w:rPr>
        <w:t>（填写需要备案的招标代理机构的全称）</w:t>
      </w:r>
      <w:r>
        <w:rPr>
          <w:rFonts w:hint="eastAsia"/>
          <w:color w:val="auto"/>
          <w:highlight w:val="none"/>
        </w:rPr>
        <w:t>备案</w:t>
      </w:r>
      <w:r>
        <w:rPr>
          <w:rFonts w:hint="eastAsia"/>
          <w:color w:val="auto"/>
          <w:highlight w:val="none"/>
          <w:u w:val="single"/>
        </w:rPr>
        <w:t>（填写具体份数）</w:t>
      </w:r>
      <w:r>
        <w:rPr>
          <w:rFonts w:hint="eastAsia"/>
          <w:color w:val="auto"/>
          <w:highlight w:val="none"/>
        </w:rPr>
        <w:t>份，具有同等效力。</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15.5其他：□无。□（根据实际情况填写需要增加的内容）。</w:t>
      </w:r>
    </w:p>
    <w:p>
      <w:pPr>
        <w:widowControl/>
        <w:spacing w:line="435" w:lineRule="atLeas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（以下无正文）</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                                     乙方：</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住所：                                     住所：</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单位负责人：                               单位负责人：</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委托代理人：                               委托代理人：</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联系方法：                                 联系方法：</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开户银行：                                 开户银行：</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账号：                                     账号：</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签订地点：</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签订日期：   年   月   日</w:t>
      </w:r>
    </w:p>
    <w:p>
      <w:pPr>
        <w:widowControl/>
        <w:spacing w:line="435" w:lineRule="atLeast"/>
        <w:jc w:val="left"/>
        <w:rPr>
          <w:rFonts w:ascii="宋体" w:hAnsi="宋体" w:cs="宋体"/>
          <w:color w:val="auto"/>
          <w:kern w:val="0"/>
          <w:sz w:val="24"/>
          <w:highlight w:val="none"/>
        </w:rPr>
      </w:pPr>
    </w:p>
    <w:p>
      <w:pPr>
        <w:widowControl/>
        <w:spacing w:line="435" w:lineRule="atLeast"/>
        <w:jc w:val="left"/>
        <w:rPr>
          <w:rFonts w:hint="eastAsia" w:ascii="微软雅黑" w:hAnsi="微软雅黑" w:cs="宋体"/>
          <w:color w:val="auto"/>
          <w:kern w:val="0"/>
          <w:sz w:val="27"/>
          <w:szCs w:val="27"/>
          <w:highlight w:val="none"/>
        </w:rPr>
      </w:pPr>
    </w:p>
    <w:p>
      <w:pPr>
        <w:widowControl/>
        <w:spacing w:line="435" w:lineRule="atLeast"/>
        <w:jc w:val="left"/>
        <w:rPr>
          <w:rFonts w:hint="eastAsia" w:ascii="微软雅黑" w:hAnsi="微软雅黑" w:cs="宋体"/>
          <w:color w:val="auto"/>
          <w:kern w:val="0"/>
          <w:sz w:val="27"/>
          <w:szCs w:val="27"/>
          <w:highlight w:val="none"/>
        </w:rPr>
      </w:pPr>
    </w:p>
    <w:p>
      <w:pPr>
        <w:widowControl/>
        <w:spacing w:line="435" w:lineRule="atLeast"/>
        <w:jc w:val="left"/>
        <w:rPr>
          <w:rFonts w:hint="eastAsia" w:ascii="微软雅黑" w:hAnsi="微软雅黑" w:cs="宋体"/>
          <w:color w:val="auto"/>
          <w:kern w:val="0"/>
          <w:sz w:val="27"/>
          <w:szCs w:val="27"/>
          <w:highlight w:val="none"/>
        </w:rPr>
      </w:pPr>
    </w:p>
    <w:p>
      <w:pPr>
        <w:widowControl/>
        <w:spacing w:line="435" w:lineRule="atLeast"/>
        <w:jc w:val="left"/>
        <w:rPr>
          <w:rFonts w:hint="eastAsia" w:ascii="微软雅黑" w:hAnsi="微软雅黑" w:cs="宋体"/>
          <w:color w:val="auto"/>
          <w:kern w:val="0"/>
          <w:sz w:val="27"/>
          <w:szCs w:val="27"/>
          <w:highlight w:val="none"/>
        </w:rPr>
      </w:pPr>
    </w:p>
    <w:p>
      <w:pPr>
        <w:widowControl/>
        <w:spacing w:line="435" w:lineRule="atLeast"/>
        <w:jc w:val="left"/>
        <w:rPr>
          <w:rFonts w:hint="eastAsia" w:ascii="微软雅黑" w:hAnsi="微软雅黑" w:cs="宋体"/>
          <w:color w:val="auto"/>
          <w:kern w:val="0"/>
          <w:sz w:val="27"/>
          <w:szCs w:val="27"/>
          <w:highlight w:val="none"/>
        </w:rPr>
      </w:pPr>
    </w:p>
    <w:p>
      <w:pPr>
        <w:widowControl/>
        <w:spacing w:line="435" w:lineRule="atLeast"/>
        <w:jc w:val="left"/>
        <w:rPr>
          <w:rFonts w:hint="eastAsia" w:ascii="微软雅黑" w:hAnsi="微软雅黑" w:cs="宋体"/>
          <w:color w:val="auto"/>
          <w:kern w:val="0"/>
          <w:sz w:val="27"/>
          <w:szCs w:val="27"/>
          <w:highlight w:val="none"/>
        </w:rPr>
      </w:pPr>
    </w:p>
    <w:p>
      <w:pPr>
        <w:widowControl/>
        <w:spacing w:line="435" w:lineRule="atLeast"/>
        <w:jc w:val="left"/>
        <w:rPr>
          <w:rFonts w:hint="eastAsia" w:ascii="微软雅黑" w:hAnsi="微软雅黑" w:cs="宋体"/>
          <w:color w:val="auto"/>
          <w:kern w:val="0"/>
          <w:sz w:val="27"/>
          <w:szCs w:val="27"/>
          <w:highlight w:val="none"/>
        </w:rPr>
      </w:pPr>
    </w:p>
    <w:p>
      <w:pPr>
        <w:widowControl/>
        <w:spacing w:line="435" w:lineRule="atLeast"/>
        <w:jc w:val="left"/>
        <w:rPr>
          <w:rFonts w:hint="eastAsia" w:ascii="微软雅黑" w:hAnsi="微软雅黑" w:cs="宋体"/>
          <w:color w:val="auto"/>
          <w:kern w:val="0"/>
          <w:sz w:val="27"/>
          <w:szCs w:val="27"/>
          <w:highlight w:val="none"/>
        </w:rPr>
      </w:pPr>
    </w:p>
    <w:p>
      <w:pPr>
        <w:pStyle w:val="17"/>
        <w:rPr>
          <w:rFonts w:hint="eastAsia" w:ascii="宋体" w:hAnsi="宋体" w:cs="宋体"/>
          <w:color w:val="auto"/>
          <w:kern w:val="0"/>
          <w:highlight w:val="none"/>
        </w:rPr>
      </w:pPr>
      <w:bookmarkStart w:id="28" w:name="_Toc3991776"/>
      <w:r>
        <w:rPr>
          <w:color w:val="auto"/>
          <w:kern w:val="0"/>
          <w:highlight w:val="none"/>
        </w:rPr>
        <w:br w:type="page"/>
      </w:r>
      <w:r>
        <w:rPr>
          <w:color w:val="auto"/>
          <w:kern w:val="0"/>
          <w:highlight w:val="none"/>
        </w:rPr>
        <w:t>第五章</w:t>
      </w:r>
      <w:r>
        <w:rPr>
          <w:rFonts w:hint="eastAsia"/>
          <w:color w:val="auto"/>
          <w:kern w:val="0"/>
          <w:highlight w:val="none"/>
        </w:rPr>
        <w:t xml:space="preserve">  </w:t>
      </w:r>
      <w:r>
        <w:rPr>
          <w:color w:val="auto"/>
          <w:kern w:val="0"/>
          <w:highlight w:val="none"/>
        </w:rPr>
        <w:t>首次响应文件格式</w:t>
      </w:r>
      <w:bookmarkEnd w:id="28"/>
    </w:p>
    <w:p>
      <w:pPr>
        <w:widowControl/>
        <w:spacing w:line="435" w:lineRule="atLeast"/>
        <w:jc w:val="center"/>
        <w:rPr>
          <w:rFonts w:ascii="宋体" w:hAnsi="宋体" w:cs="宋体"/>
          <w:color w:val="auto"/>
          <w:kern w:val="0"/>
          <w:sz w:val="24"/>
          <w:highlight w:val="none"/>
        </w:rPr>
      </w:pPr>
      <w:r>
        <w:rPr>
          <w:rFonts w:ascii="宋体" w:hAnsi="宋体" w:cs="宋体"/>
          <w:b/>
          <w:bCs/>
          <w:color w:val="auto"/>
          <w:kern w:val="0"/>
          <w:sz w:val="24"/>
          <w:highlight w:val="none"/>
        </w:rPr>
        <w:t>编制说明</w:t>
      </w:r>
    </w:p>
    <w:p>
      <w:pPr>
        <w:widowControl/>
        <w:spacing w:line="435" w:lineRule="atLeast"/>
        <w:ind w:firstLine="480" w:firstLineChars="200"/>
        <w:jc w:val="left"/>
        <w:rPr>
          <w:rFonts w:ascii="宋体" w:hAnsi="宋体" w:cs="宋体"/>
          <w:color w:val="auto"/>
          <w:kern w:val="0"/>
          <w:sz w:val="24"/>
          <w:highlight w:val="none"/>
        </w:rPr>
      </w:pPr>
      <w:r>
        <w:rPr>
          <w:rFonts w:ascii="宋体" w:hAnsi="宋体" w:cs="宋体"/>
          <w:color w:val="auto"/>
          <w:kern w:val="0"/>
          <w:sz w:val="24"/>
          <w:highlight w:val="none"/>
        </w:rPr>
        <w:t>1、除谈判文件另有规定外，谈判文件要求原件的，供应商在纸质响应文件正本中应提供原件；谈判文件要求复印件的，供应商在纸质响应文件中可提供原件、复印件或扫描件；谈判文件对原件、复印件未作要求的，供应商可自行确定在纸质响应文件中提供原件、复印件或扫描件（若供应商提供注明“复印件无效”的材料或资料，供应商在纸质响应文件正本中应提供原件）。</w:t>
      </w:r>
    </w:p>
    <w:p>
      <w:pPr>
        <w:widowControl/>
        <w:spacing w:line="495" w:lineRule="atLeast"/>
        <w:jc w:val="left"/>
        <w:rPr>
          <w:rFonts w:hint="eastAsia" w:ascii="宋体" w:hAnsi="宋体" w:cs="宋体"/>
          <w:color w:val="auto"/>
          <w:kern w:val="0"/>
          <w:sz w:val="24"/>
          <w:highlight w:val="none"/>
        </w:rPr>
      </w:pPr>
    </w:p>
    <w:p>
      <w:pPr>
        <w:widowControl/>
        <w:spacing w:line="495" w:lineRule="atLeast"/>
        <w:jc w:val="left"/>
        <w:rPr>
          <w:rFonts w:hint="eastAsia" w:ascii="宋体" w:hAnsi="宋体" w:cs="宋体"/>
          <w:color w:val="auto"/>
          <w:kern w:val="0"/>
          <w:sz w:val="24"/>
          <w:highlight w:val="none"/>
        </w:rPr>
      </w:pPr>
    </w:p>
    <w:p>
      <w:pPr>
        <w:widowControl/>
        <w:spacing w:line="495" w:lineRule="atLeast"/>
        <w:jc w:val="left"/>
        <w:rPr>
          <w:rFonts w:hint="eastAsia" w:ascii="宋体" w:hAnsi="宋体" w:cs="宋体"/>
          <w:color w:val="auto"/>
          <w:kern w:val="0"/>
          <w:sz w:val="24"/>
          <w:highlight w:val="none"/>
        </w:rPr>
      </w:pPr>
    </w:p>
    <w:p>
      <w:pPr>
        <w:widowControl/>
        <w:spacing w:line="495" w:lineRule="atLeast"/>
        <w:jc w:val="left"/>
        <w:rPr>
          <w:rFonts w:hint="eastAsia" w:ascii="宋体" w:hAnsi="宋体" w:cs="宋体"/>
          <w:color w:val="auto"/>
          <w:kern w:val="0"/>
          <w:sz w:val="24"/>
          <w:highlight w:val="none"/>
        </w:rPr>
      </w:pPr>
    </w:p>
    <w:p>
      <w:pPr>
        <w:widowControl/>
        <w:spacing w:line="495" w:lineRule="atLeast"/>
        <w:jc w:val="left"/>
        <w:rPr>
          <w:rFonts w:hint="eastAsia" w:ascii="宋体" w:hAnsi="宋体" w:cs="宋体"/>
          <w:color w:val="auto"/>
          <w:kern w:val="0"/>
          <w:sz w:val="24"/>
          <w:highlight w:val="none"/>
        </w:rPr>
      </w:pPr>
    </w:p>
    <w:p>
      <w:pPr>
        <w:widowControl/>
        <w:spacing w:line="495" w:lineRule="atLeast"/>
        <w:jc w:val="left"/>
        <w:rPr>
          <w:rFonts w:hint="eastAsia" w:ascii="宋体" w:hAnsi="宋体" w:cs="宋体"/>
          <w:color w:val="auto"/>
          <w:kern w:val="0"/>
          <w:sz w:val="24"/>
          <w:highlight w:val="none"/>
        </w:rPr>
      </w:pPr>
    </w:p>
    <w:p>
      <w:pPr>
        <w:widowControl/>
        <w:spacing w:line="495" w:lineRule="atLeast"/>
        <w:jc w:val="left"/>
        <w:rPr>
          <w:rFonts w:hint="eastAsia" w:ascii="宋体" w:hAnsi="宋体" w:cs="宋体"/>
          <w:color w:val="auto"/>
          <w:kern w:val="0"/>
          <w:sz w:val="24"/>
          <w:highlight w:val="none"/>
        </w:rPr>
      </w:pPr>
    </w:p>
    <w:p>
      <w:pPr>
        <w:widowControl/>
        <w:spacing w:line="495" w:lineRule="atLeast"/>
        <w:jc w:val="left"/>
        <w:rPr>
          <w:rFonts w:hint="eastAsia" w:ascii="宋体" w:hAnsi="宋体" w:cs="宋体"/>
          <w:color w:val="auto"/>
          <w:kern w:val="0"/>
          <w:sz w:val="24"/>
          <w:highlight w:val="none"/>
        </w:rPr>
      </w:pPr>
    </w:p>
    <w:p>
      <w:pPr>
        <w:spacing w:line="360" w:lineRule="auto"/>
        <w:jc w:val="center"/>
        <w:rPr>
          <w:rFonts w:ascii="宋体" w:hAnsi="宋体"/>
          <w:b/>
          <w:color w:val="auto"/>
          <w:sz w:val="72"/>
          <w:highlight w:val="none"/>
        </w:rPr>
      </w:pPr>
      <w:r>
        <w:rPr>
          <w:rFonts w:ascii="宋体" w:hAnsi="宋体"/>
          <w:color w:val="auto"/>
          <w:sz w:val="32"/>
          <w:szCs w:val="32"/>
          <w:highlight w:val="none"/>
        </w:rPr>
        <w:br w:type="page"/>
      </w:r>
      <w:r>
        <w:rPr>
          <w:rFonts w:hint="eastAsia" w:ascii="宋体" w:hAnsi="宋体"/>
          <w:b/>
          <w:color w:val="auto"/>
          <w:sz w:val="72"/>
          <w:highlight w:val="none"/>
        </w:rPr>
        <w:t>采购项目</w:t>
      </w:r>
    </w:p>
    <w:p>
      <w:pPr>
        <w:spacing w:line="360" w:lineRule="auto"/>
        <w:jc w:val="center"/>
        <w:rPr>
          <w:rFonts w:ascii="宋体" w:hAnsi="宋体"/>
          <w:b/>
          <w:color w:val="auto"/>
          <w:sz w:val="72"/>
          <w:highlight w:val="none"/>
        </w:rPr>
      </w:pPr>
      <w:r>
        <w:rPr>
          <w:rFonts w:hint="eastAsia" w:ascii="宋体" w:hAnsi="宋体"/>
          <w:b/>
          <w:color w:val="auto"/>
          <w:sz w:val="72"/>
          <w:highlight w:val="none"/>
        </w:rPr>
        <w:t>响  应  文  件</w:t>
      </w:r>
    </w:p>
    <w:p>
      <w:pPr>
        <w:spacing w:line="360" w:lineRule="auto"/>
        <w:jc w:val="center"/>
        <w:rPr>
          <w:rFonts w:hint="eastAsia" w:ascii="宋体" w:hAnsi="宋体"/>
          <w:b/>
          <w:color w:val="auto"/>
          <w:sz w:val="44"/>
          <w:szCs w:val="44"/>
          <w:highlight w:val="none"/>
        </w:rPr>
      </w:pPr>
    </w:p>
    <w:p>
      <w:pPr>
        <w:spacing w:line="360" w:lineRule="auto"/>
        <w:jc w:val="center"/>
        <w:rPr>
          <w:rFonts w:hint="eastAsia" w:ascii="宋体" w:hAnsi="宋体"/>
          <w:b/>
          <w:color w:val="auto"/>
          <w:sz w:val="44"/>
          <w:szCs w:val="44"/>
          <w:highlight w:val="none"/>
        </w:rPr>
      </w:pPr>
    </w:p>
    <w:p>
      <w:pPr>
        <w:spacing w:line="360" w:lineRule="auto"/>
        <w:jc w:val="center"/>
        <w:rPr>
          <w:rFonts w:ascii="宋体" w:hAnsi="宋体"/>
          <w:b/>
          <w:color w:val="auto"/>
          <w:sz w:val="44"/>
          <w:szCs w:val="44"/>
          <w:highlight w:val="none"/>
        </w:rPr>
      </w:pPr>
      <w:r>
        <w:rPr>
          <w:rFonts w:hint="eastAsia" w:ascii="宋体" w:hAnsi="宋体"/>
          <w:b/>
          <w:color w:val="auto"/>
          <w:sz w:val="44"/>
          <w:szCs w:val="44"/>
          <w:highlight w:val="none"/>
        </w:rPr>
        <w:t>(正本/副本)</w:t>
      </w:r>
    </w:p>
    <w:p>
      <w:pPr>
        <w:spacing w:line="360" w:lineRule="auto"/>
        <w:jc w:val="center"/>
        <w:rPr>
          <w:rFonts w:hint="eastAsia" w:ascii="宋体" w:hAnsi="宋体"/>
          <w:b/>
          <w:color w:val="auto"/>
          <w:sz w:val="48"/>
          <w:szCs w:val="48"/>
          <w:highlight w:val="none"/>
        </w:rPr>
      </w:pPr>
      <w:r>
        <w:rPr>
          <w:rFonts w:hint="eastAsia" w:ascii="宋体" w:hAnsi="宋体"/>
          <w:b/>
          <w:color w:val="auto"/>
          <w:sz w:val="48"/>
          <w:szCs w:val="48"/>
          <w:highlight w:val="none"/>
        </w:rPr>
        <w:t>（首次）</w:t>
      </w:r>
    </w:p>
    <w:p>
      <w:pPr>
        <w:spacing w:line="360" w:lineRule="auto"/>
        <w:ind w:firstLine="1084" w:firstLineChars="300"/>
        <w:rPr>
          <w:rFonts w:ascii="宋体" w:hAnsi="宋体"/>
          <w:b/>
          <w:color w:val="auto"/>
          <w:sz w:val="36"/>
          <w:highlight w:val="none"/>
        </w:rPr>
      </w:pPr>
      <w:r>
        <w:rPr>
          <w:rFonts w:hint="eastAsia" w:ascii="宋体" w:hAnsi="宋体"/>
          <w:b/>
          <w:color w:val="auto"/>
          <w:sz w:val="36"/>
          <w:highlight w:val="none"/>
        </w:rPr>
        <w:t>项目名称：</w:t>
      </w:r>
    </w:p>
    <w:p>
      <w:pPr>
        <w:spacing w:line="360" w:lineRule="auto"/>
        <w:ind w:firstLine="1084" w:firstLineChars="300"/>
        <w:rPr>
          <w:rFonts w:ascii="宋体" w:hAnsi="宋体"/>
          <w:b/>
          <w:color w:val="auto"/>
          <w:sz w:val="36"/>
          <w:highlight w:val="none"/>
          <w:u w:val="single"/>
        </w:rPr>
      </w:pPr>
      <w:r>
        <w:rPr>
          <w:rFonts w:hint="eastAsia" w:ascii="宋体" w:hAnsi="宋体"/>
          <w:b/>
          <w:color w:val="auto"/>
          <w:sz w:val="36"/>
          <w:highlight w:val="none"/>
        </w:rPr>
        <w:t>项目编号：</w:t>
      </w:r>
    </w:p>
    <w:p>
      <w:pPr>
        <w:spacing w:line="360" w:lineRule="auto"/>
        <w:ind w:firstLine="1086" w:firstLineChars="246"/>
        <w:rPr>
          <w:rFonts w:ascii="宋体" w:hAnsi="宋体"/>
          <w:b/>
          <w:color w:val="auto"/>
          <w:sz w:val="36"/>
          <w:highlight w:val="none"/>
        </w:rPr>
      </w:pPr>
      <w:r>
        <w:rPr>
          <w:rFonts w:hint="eastAsia" w:ascii="宋体" w:hAnsi="宋体"/>
          <w:b/>
          <w:color w:val="auto"/>
          <w:spacing w:val="40"/>
          <w:sz w:val="36"/>
          <w:highlight w:val="none"/>
          <w:lang w:eastAsia="zh-CN"/>
        </w:rPr>
        <w:t>采购包</w:t>
      </w:r>
      <w:r>
        <w:rPr>
          <w:rFonts w:hint="eastAsia" w:ascii="宋体" w:hAnsi="宋体"/>
          <w:b/>
          <w:color w:val="auto"/>
          <w:sz w:val="36"/>
          <w:highlight w:val="none"/>
        </w:rPr>
        <w:t>：</w:t>
      </w:r>
    </w:p>
    <w:p>
      <w:pPr>
        <w:spacing w:line="360" w:lineRule="auto"/>
        <w:rPr>
          <w:rFonts w:hint="eastAsia" w:ascii="宋体" w:hAnsi="宋体"/>
          <w:b/>
          <w:color w:val="auto"/>
          <w:sz w:val="36"/>
          <w:highlight w:val="none"/>
        </w:rPr>
      </w:pPr>
    </w:p>
    <w:p>
      <w:pPr>
        <w:spacing w:line="360" w:lineRule="auto"/>
        <w:rPr>
          <w:rFonts w:hint="eastAsia" w:ascii="宋体" w:hAnsi="宋体"/>
          <w:b/>
          <w:color w:val="auto"/>
          <w:sz w:val="36"/>
          <w:highlight w:val="none"/>
        </w:rPr>
      </w:pPr>
    </w:p>
    <w:p>
      <w:pPr>
        <w:spacing w:line="360" w:lineRule="auto"/>
        <w:rPr>
          <w:rFonts w:hint="eastAsia" w:ascii="宋体" w:hAnsi="宋体"/>
          <w:b/>
          <w:color w:val="auto"/>
          <w:sz w:val="36"/>
          <w:highlight w:val="none"/>
        </w:rPr>
      </w:pPr>
    </w:p>
    <w:p>
      <w:pPr>
        <w:spacing w:line="360" w:lineRule="auto"/>
        <w:rPr>
          <w:rFonts w:ascii="宋体" w:hAnsi="宋体"/>
          <w:b/>
          <w:color w:val="auto"/>
          <w:sz w:val="36"/>
          <w:highlight w:val="none"/>
        </w:rPr>
      </w:pPr>
    </w:p>
    <w:p>
      <w:pPr>
        <w:spacing w:line="360" w:lineRule="auto"/>
        <w:rPr>
          <w:rFonts w:ascii="宋体" w:hAnsi="宋体"/>
          <w:b/>
          <w:color w:val="auto"/>
          <w:sz w:val="36"/>
          <w:highlight w:val="none"/>
          <w:u w:val="single"/>
        </w:rPr>
      </w:pPr>
      <w:r>
        <w:rPr>
          <w:rFonts w:hint="eastAsia" w:ascii="宋体" w:hAnsi="宋体"/>
          <w:b/>
          <w:color w:val="auto"/>
          <w:sz w:val="36"/>
          <w:highlight w:val="none"/>
        </w:rPr>
        <w:t xml:space="preserve">       供应商名称 ：</w:t>
      </w:r>
      <w:r>
        <w:rPr>
          <w:rFonts w:hint="eastAsia" w:ascii="宋体" w:hAnsi="宋体"/>
          <w:b/>
          <w:color w:val="auto"/>
          <w:sz w:val="36"/>
          <w:highlight w:val="none"/>
          <w:u w:val="single"/>
        </w:rPr>
        <w:t xml:space="preserve"> (全称并加盖公章) </w:t>
      </w:r>
    </w:p>
    <w:p>
      <w:pPr>
        <w:spacing w:line="360" w:lineRule="auto"/>
        <w:rPr>
          <w:rFonts w:ascii="宋体" w:hAnsi="宋体"/>
          <w:b/>
          <w:color w:val="auto"/>
          <w:sz w:val="36"/>
          <w:highlight w:val="none"/>
        </w:rPr>
      </w:pPr>
      <w:r>
        <w:rPr>
          <w:rFonts w:hint="eastAsia" w:ascii="宋体" w:hAnsi="宋体"/>
          <w:b/>
          <w:color w:val="auto"/>
          <w:sz w:val="36"/>
          <w:highlight w:val="none"/>
        </w:rPr>
        <w:t xml:space="preserve">       日      期 ：</w:t>
      </w:r>
    </w:p>
    <w:p>
      <w:pPr>
        <w:pStyle w:val="32"/>
        <w:spacing w:line="360" w:lineRule="auto"/>
        <w:ind w:firstLine="1247" w:firstLineChars="345"/>
        <w:jc w:val="left"/>
        <w:outlineLvl w:val="9"/>
        <w:rPr>
          <w:rFonts w:hint="eastAsia" w:hAnsi="宋体"/>
          <w:b/>
          <w:color w:val="auto"/>
          <w:sz w:val="36"/>
          <w:szCs w:val="24"/>
          <w:highlight w:val="none"/>
        </w:rPr>
      </w:pPr>
      <w:bookmarkStart w:id="29" w:name="_Toc3991778"/>
      <w:bookmarkStart w:id="30" w:name="_Toc3991461"/>
      <w:bookmarkStart w:id="31" w:name="_Toc3991528"/>
      <w:bookmarkStart w:id="32" w:name="_Toc3991132"/>
      <w:r>
        <w:rPr>
          <w:rFonts w:hint="eastAsia" w:hAnsi="宋体"/>
          <w:b/>
          <w:color w:val="auto"/>
          <w:sz w:val="36"/>
          <w:szCs w:val="24"/>
          <w:highlight w:val="none"/>
        </w:rPr>
        <w:t>联 系 方 式：</w:t>
      </w:r>
      <w:bookmarkEnd w:id="29"/>
      <w:bookmarkEnd w:id="30"/>
      <w:bookmarkEnd w:id="31"/>
      <w:bookmarkEnd w:id="32"/>
    </w:p>
    <w:p>
      <w:pPr>
        <w:pStyle w:val="32"/>
        <w:spacing w:line="360" w:lineRule="auto"/>
        <w:ind w:firstLine="1247" w:firstLineChars="345"/>
        <w:jc w:val="left"/>
        <w:outlineLvl w:val="9"/>
        <w:rPr>
          <w:rFonts w:hint="eastAsia" w:hAnsi="宋体"/>
          <w:b/>
          <w:color w:val="auto"/>
          <w:sz w:val="36"/>
          <w:szCs w:val="24"/>
          <w:highlight w:val="none"/>
        </w:rPr>
      </w:pPr>
    </w:p>
    <w:p>
      <w:pPr>
        <w:pStyle w:val="32"/>
        <w:spacing w:line="360" w:lineRule="auto"/>
        <w:ind w:firstLine="1247" w:firstLineChars="345"/>
        <w:jc w:val="left"/>
        <w:outlineLvl w:val="9"/>
        <w:rPr>
          <w:rFonts w:hint="eastAsia" w:hAnsi="宋体"/>
          <w:b/>
          <w:color w:val="auto"/>
          <w:sz w:val="36"/>
          <w:szCs w:val="24"/>
          <w:highlight w:val="none"/>
        </w:rPr>
      </w:pPr>
    </w:p>
    <w:p>
      <w:pPr>
        <w:pStyle w:val="32"/>
        <w:spacing w:line="360" w:lineRule="auto"/>
        <w:ind w:firstLine="1247" w:firstLineChars="345"/>
        <w:jc w:val="left"/>
        <w:outlineLvl w:val="9"/>
        <w:rPr>
          <w:rFonts w:hint="eastAsia" w:hAnsi="宋体"/>
          <w:b/>
          <w:color w:val="auto"/>
          <w:sz w:val="36"/>
          <w:szCs w:val="24"/>
          <w:highlight w:val="none"/>
        </w:rPr>
      </w:pPr>
    </w:p>
    <w:p>
      <w:pPr>
        <w:pStyle w:val="32"/>
        <w:spacing w:line="360" w:lineRule="auto"/>
        <w:ind w:firstLine="1247" w:firstLineChars="345"/>
        <w:jc w:val="left"/>
        <w:outlineLvl w:val="9"/>
        <w:rPr>
          <w:rFonts w:hint="eastAsia" w:hAnsi="宋体"/>
          <w:b/>
          <w:color w:val="auto"/>
          <w:sz w:val="36"/>
          <w:szCs w:val="24"/>
          <w:highlight w:val="none"/>
        </w:rPr>
      </w:pPr>
    </w:p>
    <w:p>
      <w:pPr>
        <w:widowControl/>
        <w:jc w:val="center"/>
        <w:rPr>
          <w:rFonts w:ascii="宋体" w:hAnsi="宋体" w:cs="宋体"/>
          <w:color w:val="auto"/>
          <w:kern w:val="0"/>
          <w:sz w:val="24"/>
          <w:highlight w:val="none"/>
        </w:rPr>
      </w:pPr>
      <w:r>
        <w:rPr>
          <w:rFonts w:ascii="宋体" w:hAnsi="宋体" w:cs="宋体"/>
          <w:b/>
          <w:bCs/>
          <w:color w:val="auto"/>
          <w:kern w:val="0"/>
          <w:sz w:val="24"/>
          <w:highlight w:val="none"/>
        </w:rPr>
        <w:br w:type="page"/>
      </w:r>
      <w:r>
        <w:rPr>
          <w:rFonts w:ascii="宋体" w:hAnsi="宋体" w:cs="宋体"/>
          <w:b/>
          <w:bCs/>
          <w:color w:val="auto"/>
          <w:kern w:val="0"/>
          <w:sz w:val="24"/>
          <w:highlight w:val="none"/>
        </w:rPr>
        <w:t>目录</w:t>
      </w:r>
    </w:p>
    <w:p>
      <w:pPr>
        <w:widowControl/>
        <w:spacing w:line="465" w:lineRule="atLeast"/>
        <w:jc w:val="left"/>
        <w:rPr>
          <w:rFonts w:hint="eastAsia" w:ascii="宋体" w:hAnsi="宋体" w:cs="宋体"/>
          <w:b/>
          <w:bCs/>
          <w:color w:val="auto"/>
          <w:kern w:val="0"/>
          <w:sz w:val="24"/>
          <w:highlight w:val="none"/>
        </w:rPr>
      </w:pPr>
    </w:p>
    <w:p>
      <w:pPr>
        <w:widowControl/>
        <w:spacing w:line="465" w:lineRule="atLeast"/>
        <w:jc w:val="left"/>
        <w:rPr>
          <w:rFonts w:ascii="宋体" w:hAnsi="宋体" w:cs="宋体"/>
          <w:color w:val="auto"/>
          <w:kern w:val="0"/>
          <w:sz w:val="24"/>
          <w:highlight w:val="none"/>
        </w:rPr>
      </w:pPr>
      <w:r>
        <w:rPr>
          <w:rFonts w:ascii="宋体" w:hAnsi="宋体" w:cs="宋体"/>
          <w:color w:val="auto"/>
          <w:kern w:val="0"/>
          <w:sz w:val="24"/>
          <w:highlight w:val="none"/>
        </w:rPr>
        <w:t>附件1：谈判响应声明</w:t>
      </w:r>
    </w:p>
    <w:p>
      <w:pPr>
        <w:widowControl/>
        <w:spacing w:line="465" w:lineRule="atLeast"/>
        <w:jc w:val="left"/>
        <w:rPr>
          <w:rFonts w:ascii="宋体" w:hAnsi="宋体" w:cs="宋体"/>
          <w:color w:val="auto"/>
          <w:kern w:val="0"/>
          <w:sz w:val="24"/>
          <w:highlight w:val="none"/>
        </w:rPr>
      </w:pPr>
      <w:r>
        <w:rPr>
          <w:rFonts w:ascii="宋体" w:hAnsi="宋体" w:cs="宋体"/>
          <w:color w:val="auto"/>
          <w:kern w:val="0"/>
          <w:sz w:val="24"/>
          <w:highlight w:val="none"/>
        </w:rPr>
        <w:t>附件2：报价一览表（含详细报价书）</w:t>
      </w:r>
    </w:p>
    <w:p>
      <w:pPr>
        <w:widowControl/>
        <w:spacing w:line="465" w:lineRule="atLeast"/>
        <w:jc w:val="left"/>
        <w:rPr>
          <w:rFonts w:ascii="宋体" w:hAnsi="宋体" w:cs="宋体"/>
          <w:color w:val="auto"/>
          <w:kern w:val="0"/>
          <w:sz w:val="24"/>
          <w:highlight w:val="none"/>
        </w:rPr>
      </w:pPr>
      <w:r>
        <w:rPr>
          <w:rFonts w:ascii="宋体" w:hAnsi="宋体" w:cs="宋体"/>
          <w:color w:val="auto"/>
          <w:kern w:val="0"/>
          <w:sz w:val="24"/>
          <w:highlight w:val="none"/>
        </w:rPr>
        <w:t>附件3：资格证明文件</w:t>
      </w:r>
    </w:p>
    <w:p>
      <w:pPr>
        <w:widowControl/>
        <w:spacing w:line="465" w:lineRule="atLeast"/>
        <w:jc w:val="left"/>
        <w:rPr>
          <w:rFonts w:ascii="宋体" w:hAnsi="宋体" w:cs="宋体"/>
          <w:color w:val="auto"/>
          <w:kern w:val="0"/>
          <w:sz w:val="24"/>
          <w:highlight w:val="none"/>
        </w:rPr>
      </w:pPr>
      <w:r>
        <w:rPr>
          <w:rFonts w:ascii="宋体" w:hAnsi="宋体" w:cs="宋体"/>
          <w:color w:val="auto"/>
          <w:kern w:val="0"/>
          <w:sz w:val="24"/>
          <w:highlight w:val="none"/>
        </w:rPr>
        <w:t>附件4：谈判保证金凭证</w:t>
      </w:r>
    </w:p>
    <w:p>
      <w:pPr>
        <w:widowControl/>
        <w:spacing w:line="465" w:lineRule="atLeast"/>
        <w:jc w:val="left"/>
        <w:rPr>
          <w:rFonts w:ascii="宋体" w:hAnsi="宋体" w:cs="宋体"/>
          <w:color w:val="auto"/>
          <w:kern w:val="0"/>
          <w:sz w:val="24"/>
          <w:highlight w:val="none"/>
        </w:rPr>
      </w:pPr>
      <w:r>
        <w:rPr>
          <w:rFonts w:ascii="宋体" w:hAnsi="宋体" w:cs="宋体"/>
          <w:color w:val="auto"/>
          <w:kern w:val="0"/>
          <w:sz w:val="24"/>
          <w:highlight w:val="none"/>
        </w:rPr>
        <w:t>附件5：技术、服务和商务响应表</w:t>
      </w:r>
    </w:p>
    <w:p>
      <w:pPr>
        <w:widowControl/>
        <w:spacing w:line="465" w:lineRule="atLeast"/>
        <w:jc w:val="left"/>
        <w:rPr>
          <w:rFonts w:ascii="宋体" w:hAnsi="宋体" w:cs="宋体"/>
          <w:color w:val="auto"/>
          <w:kern w:val="0"/>
          <w:sz w:val="24"/>
          <w:highlight w:val="none"/>
        </w:rPr>
      </w:pPr>
      <w:r>
        <w:rPr>
          <w:rFonts w:ascii="宋体" w:hAnsi="宋体" w:cs="宋体"/>
          <w:color w:val="auto"/>
          <w:kern w:val="0"/>
          <w:sz w:val="24"/>
          <w:highlight w:val="none"/>
        </w:rPr>
        <w:t>附件6：相关技术、商务、服务响应承诺及资料</w:t>
      </w:r>
    </w:p>
    <w:p>
      <w:pPr>
        <w:widowControl/>
        <w:spacing w:line="465" w:lineRule="atLeast"/>
        <w:jc w:val="left"/>
        <w:rPr>
          <w:rFonts w:ascii="宋体" w:hAnsi="宋体" w:cs="宋体"/>
          <w:color w:val="auto"/>
          <w:kern w:val="0"/>
          <w:sz w:val="24"/>
          <w:highlight w:val="none"/>
        </w:rPr>
      </w:pPr>
      <w:r>
        <w:rPr>
          <w:rFonts w:ascii="宋体" w:hAnsi="宋体" w:cs="宋体"/>
          <w:color w:val="auto"/>
          <w:kern w:val="0"/>
          <w:sz w:val="24"/>
          <w:highlight w:val="none"/>
        </w:rPr>
        <w:t>附件7：供应商提交符合政府采购政策的证明材料</w:t>
      </w:r>
    </w:p>
    <w:p>
      <w:pPr>
        <w:widowControl/>
        <w:spacing w:line="465" w:lineRule="atLeast"/>
        <w:jc w:val="left"/>
        <w:rPr>
          <w:rFonts w:ascii="宋体" w:hAnsi="宋体" w:cs="宋体"/>
          <w:color w:val="auto"/>
          <w:kern w:val="0"/>
          <w:sz w:val="24"/>
          <w:highlight w:val="none"/>
        </w:rPr>
      </w:pPr>
      <w:r>
        <w:rPr>
          <w:rFonts w:ascii="宋体" w:hAnsi="宋体" w:cs="宋体"/>
          <w:color w:val="auto"/>
          <w:kern w:val="0"/>
          <w:sz w:val="24"/>
          <w:highlight w:val="none"/>
        </w:rPr>
        <w:t>附件8：要求作为响应文件组成部分的其他内容（若有）</w:t>
      </w:r>
    </w:p>
    <w:p>
      <w:pPr>
        <w:widowControl/>
        <w:jc w:val="left"/>
        <w:rPr>
          <w:rFonts w:hint="eastAsia" w:ascii="宋体" w:hAnsi="宋体" w:cs="宋体"/>
          <w:b/>
          <w:bCs/>
          <w:color w:val="auto"/>
          <w:kern w:val="0"/>
          <w:sz w:val="24"/>
          <w:highlight w:val="none"/>
        </w:rPr>
      </w:pPr>
    </w:p>
    <w:p>
      <w:pPr>
        <w:widowControl/>
        <w:jc w:val="left"/>
        <w:rPr>
          <w:rFonts w:hint="eastAsia" w:ascii="宋体" w:hAnsi="宋体" w:cs="宋体"/>
          <w:b/>
          <w:bCs/>
          <w:color w:val="auto"/>
          <w:kern w:val="0"/>
          <w:sz w:val="24"/>
          <w:highlight w:val="none"/>
        </w:rPr>
      </w:pPr>
    </w:p>
    <w:p>
      <w:pPr>
        <w:widowControl/>
        <w:jc w:val="left"/>
        <w:rPr>
          <w:rFonts w:hint="eastAsia" w:ascii="宋体" w:hAnsi="宋体" w:cs="宋体"/>
          <w:b/>
          <w:bCs/>
          <w:color w:val="auto"/>
          <w:kern w:val="0"/>
          <w:sz w:val="24"/>
          <w:highlight w:val="none"/>
        </w:rPr>
      </w:pPr>
    </w:p>
    <w:p>
      <w:pPr>
        <w:widowControl/>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br w:type="textWrapping"/>
      </w:r>
    </w:p>
    <w:p>
      <w:pPr>
        <w:widowControl/>
        <w:jc w:val="center"/>
        <w:rPr>
          <w:rFonts w:hint="eastAsia" w:ascii="宋体" w:hAnsi="宋体" w:cs="宋体"/>
          <w:b/>
          <w:color w:val="auto"/>
          <w:kern w:val="0"/>
          <w:szCs w:val="21"/>
          <w:highlight w:val="none"/>
        </w:rPr>
      </w:pPr>
      <w:r>
        <w:rPr>
          <w:rFonts w:hint="eastAsia" w:ascii="宋体" w:hAnsi="宋体" w:cs="宋体"/>
          <w:b/>
          <w:bCs/>
          <w:color w:val="auto"/>
          <w:kern w:val="0"/>
          <w:szCs w:val="21"/>
          <w:highlight w:val="none"/>
        </w:rPr>
        <w:br w:type="page"/>
      </w:r>
      <w:r>
        <w:rPr>
          <w:rFonts w:hint="eastAsia" w:ascii="宋体" w:hAnsi="宋体" w:cs="宋体"/>
          <w:b/>
          <w:color w:val="auto"/>
          <w:kern w:val="0"/>
          <w:szCs w:val="21"/>
          <w:highlight w:val="none"/>
        </w:rPr>
        <w:t xml:space="preserve">附件1     </w:t>
      </w:r>
      <w:r>
        <w:rPr>
          <w:rFonts w:hint="eastAsia" w:ascii="宋体" w:hAnsi="宋体" w:cs="宋体"/>
          <w:b/>
          <w:bCs/>
          <w:color w:val="auto"/>
          <w:kern w:val="0"/>
          <w:szCs w:val="21"/>
          <w:highlight w:val="none"/>
        </w:rPr>
        <w:t>谈判响应声明</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致：宁德市有信产权交易服务有限公司</w:t>
      </w:r>
    </w:p>
    <w:p>
      <w:pPr>
        <w:widowControl/>
        <w:spacing w:line="435" w:lineRule="atLeas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1.根据贵方为    项目（项目编号:    ）的采购公告（或采购邀请书），我方签字代表   （全名、职务）  经正式授权并代表的供应商    （供应商名称、地址）提交包含下述内容的首次响应文件纸质文本正本  套，副本 套及电子文档  套。</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（1）谈判响应声明</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（2）报价一览表（含详细报价书）</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（3）资格证明文件</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（4）谈判保证金凭证</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（5）技术、服务和商务响应表</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（6）相关技术、商务、服务响应承诺及资料</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（7）供应商提交符合政府采购政策的证明材料</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（8）按照谈判文件规定，要求作为响应文件组成部分的其他内容（若有）</w:t>
      </w:r>
    </w:p>
    <w:p>
      <w:pPr>
        <w:widowControl/>
        <w:spacing w:line="435" w:lineRule="atLeas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2.据此函，我方宣布响应承诺如下：</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2.1我方已详细审查全部竞争性谈判文件，包括澄清、修改、补充或更正文件（如有的话）和有关附件，我方完全熟悉和理解其中的要求、条款和条件，且无任何异议。除了我方已在技术和商务偏离表中列出的负偏差和不响应外，我方承诺将按竞争性谈判文件的各项规定履行合同责任和义务。竞争性谈判文件及其附件资料如果有涉及应当保密的内容，我方将严格遵守规定，不将应当保密的内容泄密给第三方或另作它用，如有违反，采购人可依法追究我方的法律责任。</w:t>
      </w:r>
    </w:p>
    <w:p>
      <w:pPr>
        <w:widowControl/>
        <w:spacing w:line="435" w:lineRule="atLeas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一旦我方获得成交，我方将按照竞争性谈判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谈判文件的要求，并在规定的期限内与采购人签订合同。</w:t>
      </w:r>
    </w:p>
    <w:p>
      <w:pPr>
        <w:widowControl/>
        <w:spacing w:line="435" w:lineRule="atLeas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2.3我方承诺：递交的所有响应文件（包括首次响应文件、补充澄清、最后报价等响应文件）在竞争性谈判须知前附表规定的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widowControl/>
        <w:spacing w:line="435" w:lineRule="atLeas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2.4我方已经按照谈判文件要求提交谈判保证金。我方如果发生任何竞争性谈判文件中所述不予退还谈判保证金的情况，则我方的谈判保证金将被贵方不予退还，我方对此无异议。</w:t>
      </w:r>
    </w:p>
    <w:p>
      <w:pPr>
        <w:widowControl/>
        <w:spacing w:line="435" w:lineRule="atLeas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2.5我方愿意向贵方提供任何与本项目谈判采购有关的数据或资料。若贵方需要，我方愿意提供我方作出的一切承诺的证明材料。</w:t>
      </w:r>
    </w:p>
    <w:p>
      <w:pPr>
        <w:widowControl/>
        <w:spacing w:line="435" w:lineRule="atLeas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2.6我方联系方式、电子信箱和通信地址等信息如下，用于接受贵方发出的与本次谈判活动有关的一切往来信息或通知（包括补充、澄清和成交通知等），我方自行承担信息错误、通讯设备故障或延误查收信息给我方带来的后果和责任。贵方按我方写明的下述联系方式、电子信箱或通信地址发出任何信息或通知，均视同为我方已收悉并知晓，我方均予以认可。</w:t>
      </w:r>
    </w:p>
    <w:p>
      <w:pPr>
        <w:widowControl/>
        <w:spacing w:line="435" w:lineRule="atLeast"/>
        <w:ind w:firstLine="7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通信地址：</w:t>
      </w:r>
    </w:p>
    <w:p>
      <w:pPr>
        <w:widowControl/>
        <w:spacing w:line="435" w:lineRule="atLeast"/>
        <w:ind w:firstLine="7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邮编：           传真号：  </w:t>
      </w:r>
    </w:p>
    <w:p>
      <w:pPr>
        <w:widowControl/>
        <w:spacing w:line="435" w:lineRule="atLeast"/>
        <w:ind w:firstLine="630" w:firstLineChars="3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联系电话（固定电话和移动电话）： </w:t>
      </w:r>
    </w:p>
    <w:p>
      <w:pPr>
        <w:widowControl/>
        <w:spacing w:line="435" w:lineRule="atLeast"/>
        <w:ind w:firstLine="630" w:firstLineChars="3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 </w:t>
      </w:r>
    </w:p>
    <w:p>
      <w:pPr>
        <w:widowControl/>
        <w:spacing w:line="435" w:lineRule="atLeast"/>
        <w:ind w:firstLine="7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供应商代表电子信箱： </w:t>
      </w:r>
    </w:p>
    <w:p>
      <w:pPr>
        <w:widowControl/>
        <w:spacing w:line="435" w:lineRule="atLeast"/>
        <w:ind w:firstLine="630" w:firstLineChars="3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供应商：        （全称并加盖公章） </w:t>
      </w:r>
    </w:p>
    <w:p>
      <w:pPr>
        <w:widowControl/>
        <w:spacing w:line="435" w:lineRule="atLeast"/>
        <w:ind w:firstLine="630" w:firstLineChars="3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jc w:val="left"/>
        <w:rPr>
          <w:rFonts w:hint="eastAsia" w:ascii="宋体" w:hAnsi="宋体" w:cs="宋体"/>
          <w:b/>
          <w:bCs/>
          <w:color w:val="auto"/>
          <w:kern w:val="0"/>
          <w:szCs w:val="21"/>
          <w:highlight w:val="none"/>
        </w:rPr>
      </w:pPr>
    </w:p>
    <w:p>
      <w:pPr>
        <w:widowControl/>
        <w:jc w:val="left"/>
        <w:rPr>
          <w:rFonts w:hint="eastAsia" w:ascii="宋体" w:hAnsi="宋体" w:cs="宋体"/>
          <w:b/>
          <w:bCs/>
          <w:color w:val="auto"/>
          <w:kern w:val="0"/>
          <w:szCs w:val="21"/>
          <w:highlight w:val="none"/>
        </w:rPr>
      </w:pPr>
    </w:p>
    <w:p>
      <w:pPr>
        <w:widowControl/>
        <w:jc w:val="left"/>
        <w:rPr>
          <w:rFonts w:hint="eastAsia" w:ascii="宋体" w:hAnsi="宋体" w:cs="宋体"/>
          <w:b/>
          <w:bCs/>
          <w:color w:val="auto"/>
          <w:kern w:val="0"/>
          <w:szCs w:val="21"/>
          <w:highlight w:val="none"/>
        </w:rPr>
      </w:pPr>
    </w:p>
    <w:p>
      <w:pPr>
        <w:widowControl/>
        <w:jc w:val="left"/>
        <w:rPr>
          <w:rFonts w:hint="eastAsia" w:ascii="宋体" w:hAnsi="宋体" w:cs="宋体"/>
          <w:b/>
          <w:bCs/>
          <w:color w:val="auto"/>
          <w:kern w:val="0"/>
          <w:szCs w:val="21"/>
          <w:highlight w:val="none"/>
        </w:rPr>
      </w:pPr>
    </w:p>
    <w:p>
      <w:pPr>
        <w:widowControl/>
        <w:jc w:val="left"/>
        <w:rPr>
          <w:rFonts w:hint="eastAsia" w:ascii="宋体" w:hAnsi="宋体" w:cs="宋体"/>
          <w:b/>
          <w:bCs/>
          <w:color w:val="auto"/>
          <w:kern w:val="0"/>
          <w:szCs w:val="21"/>
          <w:highlight w:val="none"/>
        </w:rPr>
      </w:pPr>
    </w:p>
    <w:p>
      <w:pPr>
        <w:widowControl/>
        <w:jc w:val="left"/>
        <w:rPr>
          <w:rFonts w:hint="eastAsia" w:ascii="宋体" w:hAnsi="宋体" w:cs="宋体"/>
          <w:b/>
          <w:bCs/>
          <w:color w:val="auto"/>
          <w:kern w:val="0"/>
          <w:szCs w:val="21"/>
          <w:highlight w:val="none"/>
        </w:rPr>
      </w:pPr>
    </w:p>
    <w:p>
      <w:pPr>
        <w:widowControl/>
        <w:jc w:val="left"/>
        <w:rPr>
          <w:rFonts w:hint="eastAsia" w:ascii="宋体" w:hAnsi="宋体" w:cs="宋体"/>
          <w:b/>
          <w:bCs/>
          <w:color w:val="auto"/>
          <w:kern w:val="0"/>
          <w:szCs w:val="21"/>
          <w:highlight w:val="none"/>
        </w:rPr>
      </w:pPr>
    </w:p>
    <w:p>
      <w:pPr>
        <w:widowControl/>
        <w:jc w:val="left"/>
        <w:rPr>
          <w:rFonts w:hint="eastAsia" w:ascii="宋体" w:hAnsi="宋体" w:cs="宋体"/>
          <w:b/>
          <w:bCs/>
          <w:color w:val="auto"/>
          <w:kern w:val="0"/>
          <w:szCs w:val="21"/>
          <w:highlight w:val="none"/>
        </w:rPr>
      </w:pPr>
    </w:p>
    <w:p>
      <w:pPr>
        <w:widowControl/>
        <w:jc w:val="center"/>
        <w:rPr>
          <w:rFonts w:hint="eastAsia" w:ascii="宋体" w:hAnsi="宋体" w:cs="宋体"/>
          <w:b/>
          <w:color w:val="auto"/>
          <w:kern w:val="0"/>
          <w:szCs w:val="21"/>
          <w:highlight w:val="none"/>
        </w:rPr>
      </w:pPr>
      <w:r>
        <w:rPr>
          <w:rFonts w:hint="eastAsia" w:ascii="宋体" w:hAnsi="宋体" w:cs="宋体"/>
          <w:b/>
          <w:bCs/>
          <w:color w:val="auto"/>
          <w:kern w:val="0"/>
          <w:szCs w:val="21"/>
          <w:highlight w:val="none"/>
        </w:rPr>
        <w:br w:type="page"/>
      </w:r>
      <w:r>
        <w:rPr>
          <w:rFonts w:hint="eastAsia" w:ascii="宋体" w:hAnsi="宋体" w:cs="宋体"/>
          <w:b/>
          <w:bCs/>
          <w:color w:val="auto"/>
          <w:kern w:val="0"/>
          <w:szCs w:val="21"/>
          <w:highlight w:val="none"/>
        </w:rPr>
        <w:br w:type="textWrapping"/>
      </w:r>
      <w:r>
        <w:rPr>
          <w:rFonts w:hint="eastAsia" w:ascii="宋体" w:hAnsi="宋体" w:cs="宋体"/>
          <w:b/>
          <w:color w:val="auto"/>
          <w:kern w:val="0"/>
          <w:szCs w:val="21"/>
          <w:highlight w:val="none"/>
        </w:rPr>
        <w:t xml:space="preserve">附件2    </w:t>
      </w:r>
      <w:r>
        <w:rPr>
          <w:rFonts w:hint="eastAsia" w:ascii="宋体" w:hAnsi="宋体" w:cs="宋体"/>
          <w:b/>
          <w:bCs/>
          <w:color w:val="auto"/>
          <w:kern w:val="0"/>
          <w:szCs w:val="21"/>
          <w:highlight w:val="none"/>
        </w:rPr>
        <w:t>报价一览表</w:t>
      </w:r>
    </w:p>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（全称加盖单位公章）</w:t>
      </w:r>
    </w:p>
    <w:p>
      <w:pPr>
        <w:widowControl/>
        <w:spacing w:line="375" w:lineRule="atLeast"/>
        <w:jc w:val="left"/>
        <w:rPr>
          <w:rFonts w:hint="eastAsia" w:ascii="宋体" w:hAnsi="宋体" w:cs="宋体"/>
          <w:color w:val="auto"/>
          <w:kern w:val="0"/>
          <w:szCs w:val="21"/>
          <w:highlight w:val="none"/>
        </w:rPr>
      </w:pPr>
    </w:p>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项目编号∶    货币单位：元人民币</w:t>
      </w: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tbl>
      <w:tblPr>
        <w:tblStyle w:val="18"/>
        <w:tblW w:w="10218" w:type="dxa"/>
        <w:tblInd w:w="-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27"/>
        <w:gridCol w:w="400"/>
        <w:gridCol w:w="1216"/>
        <w:gridCol w:w="1233"/>
        <w:gridCol w:w="1150"/>
        <w:gridCol w:w="1284"/>
        <w:gridCol w:w="2604"/>
        <w:gridCol w:w="1073"/>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5" w:hRule="atLeast"/>
          <w:tblHeader/>
        </w:trPr>
        <w:tc>
          <w:tcPr>
            <w:tcW w:w="427"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采购包</w:t>
            </w:r>
          </w:p>
        </w:tc>
        <w:tc>
          <w:tcPr>
            <w:tcW w:w="40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品目号</w:t>
            </w:r>
          </w:p>
        </w:tc>
        <w:tc>
          <w:tcPr>
            <w:tcW w:w="121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采购标的</w:t>
            </w:r>
          </w:p>
        </w:tc>
        <w:tc>
          <w:tcPr>
            <w:tcW w:w="123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预估数量（人）</w:t>
            </w:r>
          </w:p>
        </w:tc>
        <w:tc>
          <w:tcPr>
            <w:tcW w:w="115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单价</w:t>
            </w:r>
            <w:r>
              <w:rPr>
                <w:rFonts w:hint="eastAsia" w:ascii="宋体" w:hAnsi="宋体" w:eastAsia="宋体" w:cs="宋体"/>
                <w:b/>
                <w:bCs/>
                <w:color w:val="auto"/>
                <w:szCs w:val="21"/>
                <w:highlight w:val="none"/>
              </w:rPr>
              <w:t>报价</w:t>
            </w:r>
          </w:p>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（元/人）</w:t>
            </w:r>
          </w:p>
        </w:tc>
        <w:tc>
          <w:tcPr>
            <w:tcW w:w="1284"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年保费</w:t>
            </w:r>
          </w:p>
          <w:p>
            <w:pPr>
              <w:widowControl/>
              <w:jc w:val="center"/>
              <w:rPr>
                <w:rFonts w:hint="default"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lang w:val="en-US" w:eastAsia="zh-CN"/>
              </w:rPr>
              <w:t>品目报价）</w:t>
            </w:r>
          </w:p>
        </w:tc>
        <w:tc>
          <w:tcPr>
            <w:tcW w:w="2604"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首次</w:t>
            </w:r>
            <w:r>
              <w:rPr>
                <w:rFonts w:hint="eastAsia" w:ascii="宋体" w:hAnsi="宋体" w:eastAsia="宋体" w:cs="宋体"/>
                <w:b/>
                <w:bCs/>
                <w:color w:val="auto"/>
                <w:szCs w:val="21"/>
                <w:highlight w:val="none"/>
              </w:rPr>
              <w:t>总报价</w:t>
            </w:r>
          </w:p>
        </w:tc>
        <w:tc>
          <w:tcPr>
            <w:tcW w:w="107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谈判</w:t>
            </w:r>
            <w:r>
              <w:rPr>
                <w:rFonts w:hint="eastAsia" w:ascii="宋体" w:hAnsi="宋体" w:eastAsia="宋体" w:cs="宋体"/>
                <w:b/>
                <w:bCs/>
                <w:color w:val="auto"/>
                <w:szCs w:val="21"/>
                <w:highlight w:val="none"/>
              </w:rPr>
              <w:t>保证金（元）</w:t>
            </w:r>
          </w:p>
        </w:tc>
        <w:tc>
          <w:tcPr>
            <w:tcW w:w="831"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4" w:hRule="atLeast"/>
          <w:tblHeader/>
        </w:trPr>
        <w:tc>
          <w:tcPr>
            <w:tcW w:w="427" w:type="dxa"/>
            <w:vMerge w:val="restart"/>
            <w:tcBorders>
              <w:top w:val="outset" w:color="auto" w:sz="6" w:space="0"/>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p>
            <w:pPr>
              <w:widowControl/>
              <w:jc w:val="center"/>
              <w:rPr>
                <w:rFonts w:hint="eastAsia" w:ascii="宋体" w:hAnsi="宋体" w:eastAsia="宋体" w:cs="宋体"/>
                <w:color w:val="auto"/>
                <w:szCs w:val="21"/>
                <w:highlight w:val="none"/>
              </w:rPr>
            </w:pPr>
          </w:p>
        </w:tc>
        <w:tc>
          <w:tcPr>
            <w:tcW w:w="40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121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职工团体补充医疗保险</w:t>
            </w:r>
          </w:p>
        </w:tc>
        <w:tc>
          <w:tcPr>
            <w:tcW w:w="123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eastAsia="宋体" w:cs="宋体"/>
                <w:color w:val="auto"/>
                <w:szCs w:val="21"/>
                <w:highlight w:val="none"/>
              </w:rPr>
            </w:pPr>
            <w:r>
              <w:rPr>
                <w:rFonts w:hint="eastAsia" w:ascii="宋体" w:hAnsi="宋体" w:eastAsia="宋体" w:cs="宋体"/>
                <w:color w:val="auto"/>
                <w:szCs w:val="21"/>
                <w:highlight w:val="none"/>
              </w:rPr>
              <w:t>1760</w:t>
            </w:r>
          </w:p>
        </w:tc>
        <w:tc>
          <w:tcPr>
            <w:tcW w:w="115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p>
        </w:tc>
        <w:tc>
          <w:tcPr>
            <w:tcW w:w="1284"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p>
        </w:tc>
        <w:tc>
          <w:tcPr>
            <w:tcW w:w="2604" w:type="dxa"/>
            <w:vMerge w:val="restart"/>
            <w:tcBorders>
              <w:top w:val="outset" w:color="auto" w:sz="6" w:space="0"/>
              <w:left w:val="outset" w:color="auto" w:sz="6" w:space="0"/>
              <w:right w:val="outset" w:color="auto" w:sz="6" w:space="0"/>
            </w:tcBorders>
            <w:noWrap w:val="0"/>
            <w:vAlign w:val="center"/>
          </w:tcPr>
          <w:p>
            <w:pPr>
              <w:widowControl/>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lang w:eastAsia="zh-CN"/>
              </w:rPr>
              <w:t>金额：</w:t>
            </w:r>
          </w:p>
          <w:p>
            <w:pPr>
              <w:widowControl/>
              <w:jc w:val="both"/>
              <w:rPr>
                <w:rFonts w:hint="eastAsia" w:ascii="宋体" w:hAnsi="宋体" w:eastAsia="宋体" w:cs="宋体"/>
                <w:color w:val="auto"/>
                <w:szCs w:val="21"/>
                <w:highlight w:val="none"/>
              </w:rPr>
            </w:pPr>
            <w:r>
              <w:rPr>
                <w:rFonts w:hint="eastAsia" w:ascii="宋体" w:hAnsi="宋体" w:cs="宋体"/>
                <w:color w:val="auto"/>
                <w:kern w:val="0"/>
                <w:szCs w:val="21"/>
                <w:highlight w:val="none"/>
                <w:lang w:eastAsia="zh-CN"/>
              </w:rPr>
              <w:t>大写金额：</w:t>
            </w:r>
          </w:p>
        </w:tc>
        <w:tc>
          <w:tcPr>
            <w:tcW w:w="1073" w:type="dxa"/>
            <w:vMerge w:val="restart"/>
            <w:tcBorders>
              <w:top w:val="outset" w:color="auto" w:sz="6" w:space="0"/>
              <w:left w:val="outset" w:color="auto" w:sz="6" w:space="0"/>
              <w:right w:val="outset" w:color="auto" w:sz="6" w:space="0"/>
            </w:tcBorders>
            <w:noWrap w:val="0"/>
            <w:vAlign w:val="center"/>
          </w:tcPr>
          <w:p>
            <w:pPr>
              <w:widowControl/>
              <w:jc w:val="center"/>
              <w:rPr>
                <w:rFonts w:ascii="宋体" w:hAnsi="宋体" w:eastAsia="宋体" w:cs="宋体"/>
                <w:color w:val="auto"/>
                <w:szCs w:val="21"/>
                <w:highlight w:val="none"/>
              </w:rPr>
            </w:pPr>
          </w:p>
        </w:tc>
        <w:tc>
          <w:tcPr>
            <w:tcW w:w="831" w:type="dxa"/>
            <w:vMerge w:val="restart"/>
            <w:tcBorders>
              <w:top w:val="outset" w:color="auto" w:sz="6" w:space="0"/>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2" w:hRule="atLeast"/>
          <w:tblHeader/>
        </w:trPr>
        <w:tc>
          <w:tcPr>
            <w:tcW w:w="427" w:type="dxa"/>
            <w:vMerge w:val="continue"/>
            <w:tcBorders>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p>
        </w:tc>
        <w:tc>
          <w:tcPr>
            <w:tcW w:w="40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121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职工</w:t>
            </w:r>
            <w:r>
              <w:rPr>
                <w:rFonts w:hint="eastAsia" w:ascii="宋体" w:hAnsi="宋体" w:eastAsia="宋体" w:cs="宋体"/>
                <w:color w:val="auto"/>
                <w:szCs w:val="21"/>
                <w:highlight w:val="none"/>
                <w:lang w:eastAsia="zh-CN"/>
              </w:rPr>
              <w:t>团体人身保险</w:t>
            </w:r>
          </w:p>
        </w:tc>
        <w:tc>
          <w:tcPr>
            <w:tcW w:w="123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eastAsia="宋体" w:cs="宋体"/>
                <w:color w:val="auto"/>
                <w:szCs w:val="21"/>
                <w:highlight w:val="none"/>
              </w:rPr>
            </w:pPr>
            <w:r>
              <w:rPr>
                <w:rFonts w:hint="eastAsia" w:ascii="宋体" w:hAnsi="宋体" w:eastAsia="宋体" w:cs="宋体"/>
                <w:color w:val="auto"/>
                <w:szCs w:val="21"/>
                <w:highlight w:val="none"/>
              </w:rPr>
              <w:t>104</w:t>
            </w:r>
          </w:p>
        </w:tc>
        <w:tc>
          <w:tcPr>
            <w:tcW w:w="115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p>
        </w:tc>
        <w:tc>
          <w:tcPr>
            <w:tcW w:w="1284"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eastAsia="宋体" w:cs="宋体"/>
                <w:color w:val="auto"/>
                <w:szCs w:val="21"/>
                <w:highlight w:val="none"/>
              </w:rPr>
            </w:pPr>
          </w:p>
        </w:tc>
        <w:tc>
          <w:tcPr>
            <w:tcW w:w="2604" w:type="dxa"/>
            <w:vMerge w:val="continue"/>
            <w:tcBorders>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shd w:val="clear" w:color="auto" w:fill="FFFFFF"/>
              </w:rPr>
            </w:pPr>
          </w:p>
        </w:tc>
        <w:tc>
          <w:tcPr>
            <w:tcW w:w="1073" w:type="dxa"/>
            <w:vMerge w:val="continue"/>
            <w:tcBorders>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shd w:val="clear" w:color="auto" w:fill="FFFFFF"/>
              </w:rPr>
            </w:pPr>
          </w:p>
        </w:tc>
        <w:tc>
          <w:tcPr>
            <w:tcW w:w="831" w:type="dxa"/>
            <w:vMerge w:val="continue"/>
            <w:tcBorders>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shd w:val="clear" w:color="auto" w:fill="FFFFFF"/>
              </w:rPr>
            </w:pPr>
          </w:p>
        </w:tc>
      </w:tr>
    </w:tbl>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备注：详细报价书另纸详列，格式自拟。</w:t>
      </w:r>
    </w:p>
    <w:p>
      <w:pPr>
        <w:widowControl/>
        <w:jc w:val="left"/>
        <w:rPr>
          <w:rFonts w:hint="eastAsia" w:ascii="宋体" w:hAnsi="宋体" w:cs="宋体"/>
          <w:color w:val="auto"/>
          <w:kern w:val="0"/>
          <w:szCs w:val="21"/>
          <w:highlight w:val="none"/>
        </w:rPr>
      </w:pPr>
    </w:p>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w:t>
      </w: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color w:val="auto"/>
          <w:kern w:val="0"/>
          <w:szCs w:val="21"/>
          <w:highlight w:val="none"/>
        </w:rPr>
        <w:br w:type="textWrapping"/>
      </w:r>
      <w:r>
        <w:rPr>
          <w:rFonts w:hint="eastAsia" w:ascii="宋体" w:hAnsi="宋体" w:cs="宋体"/>
          <w:b/>
          <w:color w:val="auto"/>
          <w:kern w:val="0"/>
          <w:szCs w:val="21"/>
          <w:highlight w:val="none"/>
        </w:rPr>
        <w:t xml:space="preserve">附件2-1    </w:t>
      </w:r>
      <w:r>
        <w:rPr>
          <w:rFonts w:hint="eastAsia" w:ascii="宋体" w:hAnsi="宋体" w:cs="宋体"/>
          <w:b/>
          <w:bCs/>
          <w:color w:val="auto"/>
          <w:kern w:val="0"/>
          <w:szCs w:val="21"/>
          <w:highlight w:val="none"/>
        </w:rPr>
        <w:t>详细报价书</w:t>
      </w:r>
    </w:p>
    <w:p>
      <w:pPr>
        <w:widowControl/>
        <w:spacing w:line="495" w:lineRule="atLeas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说明：</w:t>
      </w:r>
    </w:p>
    <w:p>
      <w:pPr>
        <w:widowControl/>
        <w:spacing w:line="46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1.各供应商应根据竞争性谈判文件的要求，在响应文件中提出为完成本项目相应</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工作所必需包含的详细工作内容（如：详细具体货物或服务或工程量清单内容），并以此做出详细的报价书。详细报价书应做出详细完整的报价单价和合价，并汇总计算出报价总价。采购人或采购代理机构如果对详细报价书有统一格式要求的，可以进行规定或附表。如果没有特别要求的，则格式由供应商根据项目特点自行拟制。</w:t>
      </w:r>
    </w:p>
    <w:p>
      <w:pPr>
        <w:widowControl/>
        <w:spacing w:line="49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2.为完成相应</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pPr>
        <w:widowControl/>
        <w:spacing w:line="495" w:lineRule="atLeast"/>
        <w:ind w:firstLine="480"/>
        <w:rPr>
          <w:rFonts w:hint="eastAsia" w:ascii="宋体" w:hAnsi="宋体" w:cs="宋体"/>
          <w:color w:val="auto"/>
          <w:kern w:val="0"/>
          <w:szCs w:val="21"/>
          <w:highlight w:val="none"/>
        </w:rPr>
      </w:pPr>
      <w:r>
        <w:rPr>
          <w:rFonts w:hint="eastAsia" w:ascii="宋体" w:hAnsi="宋体" w:cs="宋体"/>
          <w:color w:val="auto"/>
          <w:kern w:val="0"/>
          <w:szCs w:val="21"/>
          <w:highlight w:val="none"/>
        </w:rPr>
        <w:t>3.对于不能详细列明采购标的的技术、服务要求的谈判采购项目或者如优惠率谈判、单价谈判等特殊类型的谈判采购项目，由供应商根据谈判文件的具体规定和项目特点提交详细报价书，采购人或采购代理机构如果对详细报价书有统一格式要求的，可以进行规定或附表。如果没有特别要求的，则格式由供应商根据项目特点自行拟制。</w:t>
      </w:r>
    </w:p>
    <w:p>
      <w:pPr>
        <w:widowControl/>
        <w:spacing w:line="435" w:lineRule="atLeast"/>
        <w:rPr>
          <w:rFonts w:hint="eastAsia" w:ascii="宋体" w:hAnsi="宋体" w:cs="宋体"/>
          <w:color w:val="auto"/>
          <w:kern w:val="0"/>
          <w:szCs w:val="21"/>
          <w:highlight w:val="none"/>
        </w:rPr>
      </w:pPr>
    </w:p>
    <w:p>
      <w:pPr>
        <w:widowControl/>
        <w:spacing w:line="435" w:lineRule="atLeast"/>
        <w:rPr>
          <w:rFonts w:hint="eastAsia" w:ascii="宋体" w:hAnsi="宋体" w:cs="宋体"/>
          <w:color w:val="auto"/>
          <w:kern w:val="0"/>
          <w:szCs w:val="21"/>
          <w:highlight w:val="none"/>
        </w:rPr>
      </w:pP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 </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供应商名称：    （全称并加盖公章） </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center"/>
        <w:rPr>
          <w:rFonts w:hint="default" w:ascii="宋体" w:hAnsi="宋体" w:eastAsia="宋体" w:cs="宋体"/>
          <w:b/>
          <w:bCs/>
          <w:color w:val="auto"/>
          <w:kern w:val="0"/>
          <w:szCs w:val="21"/>
          <w:highlight w:val="none"/>
          <w:lang w:val="en-US" w:eastAsia="zh-CN"/>
        </w:rPr>
      </w:pPr>
      <w:r>
        <w:rPr>
          <w:rFonts w:hint="eastAsia" w:ascii="宋体" w:hAnsi="宋体" w:cs="宋体"/>
          <w:color w:val="auto"/>
          <w:kern w:val="0"/>
          <w:szCs w:val="21"/>
          <w:highlight w:val="none"/>
        </w:rPr>
        <w:br w:type="page"/>
      </w:r>
      <w:r>
        <w:rPr>
          <w:rFonts w:hint="eastAsia" w:ascii="宋体" w:hAnsi="宋体" w:eastAsia="宋体" w:cs="宋体"/>
          <w:b/>
          <w:color w:val="auto"/>
          <w:kern w:val="0"/>
          <w:szCs w:val="21"/>
          <w:highlight w:val="none"/>
        </w:rPr>
        <w:t xml:space="preserve">附件2-2   </w:t>
      </w:r>
      <w:r>
        <w:rPr>
          <w:rFonts w:hint="eastAsia" w:ascii="宋体" w:hAnsi="宋体" w:eastAsia="宋体" w:cs="宋体"/>
          <w:b/>
          <w:bCs/>
          <w:color w:val="auto"/>
          <w:kern w:val="0"/>
          <w:szCs w:val="21"/>
          <w:highlight w:val="none"/>
        </w:rPr>
        <w:t>最后报价一览表</w:t>
      </w:r>
    </w:p>
    <w:p>
      <w:pPr>
        <w:widowControl/>
        <w:jc w:val="center"/>
        <w:rPr>
          <w:rFonts w:hint="eastAsia" w:ascii="宋体" w:hAnsi="宋体" w:eastAsia="宋体" w:cs="宋体"/>
          <w:b/>
          <w:bCs/>
          <w:color w:val="auto"/>
          <w:kern w:val="0"/>
          <w:szCs w:val="21"/>
          <w:highlight w:val="none"/>
        </w:rPr>
      </w:pPr>
    </w:p>
    <w:p>
      <w:pPr>
        <w:widowControl/>
        <w:ind w:firstLine="630" w:firstLineChars="3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备注：（1）</w:t>
      </w:r>
      <w:r>
        <w:rPr>
          <w:rFonts w:hint="eastAsia" w:ascii="Times New Roman" w:hAnsi="Times New Roman" w:eastAsia="宋体" w:cs="Times New Roman"/>
          <w:color w:val="auto"/>
          <w:szCs w:val="21"/>
          <w:highlight w:val="none"/>
          <w:lang w:eastAsia="zh-CN"/>
        </w:rPr>
        <w:t>※</w:t>
      </w:r>
      <w:r>
        <w:rPr>
          <w:rFonts w:hint="eastAsia" w:ascii="宋体" w:hAnsi="宋体" w:eastAsia="宋体" w:cs="宋体"/>
          <w:b/>
          <w:bCs/>
          <w:color w:val="auto"/>
          <w:kern w:val="0"/>
          <w:szCs w:val="21"/>
          <w:highlight w:val="none"/>
        </w:rPr>
        <w:t>此表为供应商谈判时填写的最后报价一览表，须盖章</w:t>
      </w:r>
      <w:r>
        <w:rPr>
          <w:rFonts w:hint="eastAsia" w:ascii="宋体" w:hAnsi="宋体" w:eastAsia="宋体" w:cs="宋体"/>
          <w:b/>
          <w:bCs/>
          <w:color w:val="auto"/>
          <w:kern w:val="0"/>
          <w:szCs w:val="21"/>
          <w:highlight w:val="none"/>
          <w:lang w:val="en-US" w:eastAsia="zh-CN"/>
        </w:rPr>
        <w:t>或</w:t>
      </w:r>
      <w:r>
        <w:rPr>
          <w:rFonts w:hint="eastAsia" w:ascii="宋体" w:hAnsi="宋体" w:eastAsia="宋体" w:cs="宋体"/>
          <w:b/>
          <w:bCs/>
          <w:color w:val="auto"/>
          <w:kern w:val="0"/>
          <w:szCs w:val="21"/>
          <w:highlight w:val="none"/>
        </w:rPr>
        <w:t>签名。供应商可多备几份，不用装订在响应文件中。</w:t>
      </w:r>
    </w:p>
    <w:p>
      <w:pPr>
        <w:widowControl/>
        <w:ind w:firstLine="630" w:firstLineChars="300"/>
        <w:jc w:val="left"/>
        <w:rPr>
          <w:rFonts w:hint="eastAsia" w:ascii="宋体" w:hAnsi="宋体" w:eastAsia="宋体" w:cs="宋体"/>
          <w:color w:val="auto"/>
          <w:kern w:val="0"/>
          <w:szCs w:val="21"/>
          <w:highlight w:val="none"/>
        </w:rPr>
      </w:pPr>
      <w:r>
        <w:rPr>
          <w:rFonts w:hint="eastAsia" w:ascii="Times New Roman" w:hAnsi="Times New Roman" w:eastAsia="宋体" w:cs="Times New Roman"/>
          <w:color w:val="auto"/>
          <w:szCs w:val="21"/>
          <w:highlight w:val="none"/>
        </w:rPr>
        <w:t>（2）</w:t>
      </w:r>
      <w:r>
        <w:rPr>
          <w:rFonts w:hint="eastAsia" w:ascii="宋体" w:hAnsi="宋体" w:eastAsia="宋体" w:cs="宋体"/>
          <w:color w:val="auto"/>
          <w:kern w:val="0"/>
          <w:szCs w:val="21"/>
          <w:highlight w:val="none"/>
        </w:rPr>
        <w:t>详细报价书可另纸详列，格式自拟。</w:t>
      </w:r>
    </w:p>
    <w:p>
      <w:pPr>
        <w:widowControl/>
        <w:ind w:firstLine="630" w:firstLineChars="300"/>
        <w:jc w:val="left"/>
        <w:rPr>
          <w:rFonts w:hint="eastAsia" w:ascii="宋体" w:hAnsi="宋体" w:eastAsia="宋体" w:cs="宋体"/>
          <w:color w:val="auto"/>
          <w:kern w:val="0"/>
          <w:szCs w:val="21"/>
          <w:highlight w:val="none"/>
        </w:rPr>
      </w:pPr>
    </w:p>
    <w:p>
      <w:pPr>
        <w:widowControl/>
        <w:jc w:val="center"/>
        <w:rPr>
          <w:rFonts w:hint="eastAsia" w:ascii="宋体" w:hAnsi="宋体" w:eastAsia="宋体" w:cs="宋体"/>
          <w:color w:val="auto"/>
          <w:kern w:val="0"/>
          <w:szCs w:val="21"/>
          <w:highlight w:val="none"/>
        </w:rPr>
      </w:pPr>
    </w:p>
    <w:p>
      <w:pPr>
        <w:spacing w:line="360" w:lineRule="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1、项目名称：</w:t>
      </w:r>
    </w:p>
    <w:p>
      <w:pPr>
        <w:spacing w:line="360" w:lineRule="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2、项目编号：</w:t>
      </w:r>
    </w:p>
    <w:tbl>
      <w:tblPr>
        <w:tblStyle w:val="18"/>
        <w:tblW w:w="9393" w:type="dxa"/>
        <w:tblInd w:w="-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27"/>
        <w:gridCol w:w="400"/>
        <w:gridCol w:w="1216"/>
        <w:gridCol w:w="1233"/>
        <w:gridCol w:w="1150"/>
        <w:gridCol w:w="1284"/>
        <w:gridCol w:w="3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5" w:hRule="atLeast"/>
          <w:tblHeader/>
        </w:trPr>
        <w:tc>
          <w:tcPr>
            <w:tcW w:w="427"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采购包</w:t>
            </w:r>
          </w:p>
        </w:tc>
        <w:tc>
          <w:tcPr>
            <w:tcW w:w="40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品目号</w:t>
            </w:r>
          </w:p>
        </w:tc>
        <w:tc>
          <w:tcPr>
            <w:tcW w:w="121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采购标的</w:t>
            </w:r>
          </w:p>
        </w:tc>
        <w:tc>
          <w:tcPr>
            <w:tcW w:w="123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预估数量（人）</w:t>
            </w:r>
          </w:p>
        </w:tc>
        <w:tc>
          <w:tcPr>
            <w:tcW w:w="115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单价</w:t>
            </w:r>
            <w:r>
              <w:rPr>
                <w:rFonts w:hint="eastAsia" w:ascii="宋体" w:hAnsi="宋体" w:eastAsia="宋体" w:cs="宋体"/>
                <w:b/>
                <w:bCs/>
                <w:color w:val="auto"/>
                <w:szCs w:val="21"/>
                <w:highlight w:val="none"/>
              </w:rPr>
              <w:t>报价</w:t>
            </w:r>
          </w:p>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（元/人）</w:t>
            </w:r>
          </w:p>
        </w:tc>
        <w:tc>
          <w:tcPr>
            <w:tcW w:w="1284"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年保费</w:t>
            </w:r>
          </w:p>
          <w:p>
            <w:pPr>
              <w:widowControl/>
              <w:jc w:val="center"/>
              <w:rPr>
                <w:rFonts w:hint="default"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lang w:val="en-US" w:eastAsia="zh-CN"/>
              </w:rPr>
              <w:t>品目报价）</w:t>
            </w:r>
          </w:p>
        </w:tc>
        <w:tc>
          <w:tcPr>
            <w:tcW w:w="368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b/>
                <w:bCs/>
                <w:color w:val="auto"/>
                <w:szCs w:val="21"/>
                <w:highlight w:val="none"/>
              </w:rPr>
            </w:pPr>
            <w:r>
              <w:rPr>
                <w:rFonts w:hint="eastAsia" w:ascii="宋体" w:hAnsi="宋体" w:cs="宋体"/>
                <w:b/>
                <w:bCs/>
                <w:color w:val="auto"/>
                <w:szCs w:val="21"/>
                <w:highlight w:val="none"/>
                <w:lang w:val="en-US" w:eastAsia="zh-CN"/>
              </w:rPr>
              <w:t>最后</w:t>
            </w:r>
            <w:r>
              <w:rPr>
                <w:rFonts w:hint="eastAsia" w:ascii="宋体" w:hAnsi="宋体" w:eastAsia="宋体" w:cs="宋体"/>
                <w:b/>
                <w:bCs/>
                <w:color w:val="auto"/>
                <w:szCs w:val="21"/>
                <w:highlight w:val="none"/>
              </w:rPr>
              <w:t>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4" w:hRule="atLeast"/>
          <w:tblHeader/>
        </w:trPr>
        <w:tc>
          <w:tcPr>
            <w:tcW w:w="427" w:type="dxa"/>
            <w:vMerge w:val="restart"/>
            <w:tcBorders>
              <w:top w:val="outset" w:color="auto" w:sz="6" w:space="0"/>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p>
            <w:pPr>
              <w:widowControl/>
              <w:jc w:val="center"/>
              <w:rPr>
                <w:rFonts w:hint="eastAsia" w:ascii="宋体" w:hAnsi="宋体" w:eastAsia="宋体" w:cs="宋体"/>
                <w:color w:val="auto"/>
                <w:szCs w:val="21"/>
                <w:highlight w:val="none"/>
              </w:rPr>
            </w:pPr>
          </w:p>
        </w:tc>
        <w:tc>
          <w:tcPr>
            <w:tcW w:w="40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121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职工团体补充医疗保险</w:t>
            </w:r>
          </w:p>
        </w:tc>
        <w:tc>
          <w:tcPr>
            <w:tcW w:w="123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eastAsia="宋体" w:cs="宋体"/>
                <w:color w:val="auto"/>
                <w:szCs w:val="21"/>
                <w:highlight w:val="none"/>
              </w:rPr>
            </w:pPr>
            <w:r>
              <w:rPr>
                <w:rFonts w:hint="eastAsia" w:ascii="宋体" w:hAnsi="宋体" w:eastAsia="宋体" w:cs="宋体"/>
                <w:color w:val="auto"/>
                <w:szCs w:val="21"/>
                <w:highlight w:val="none"/>
              </w:rPr>
              <w:t>1760</w:t>
            </w:r>
          </w:p>
        </w:tc>
        <w:tc>
          <w:tcPr>
            <w:tcW w:w="115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p>
        </w:tc>
        <w:tc>
          <w:tcPr>
            <w:tcW w:w="1284"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p>
        </w:tc>
        <w:tc>
          <w:tcPr>
            <w:tcW w:w="3683" w:type="dxa"/>
            <w:vMerge w:val="restart"/>
            <w:tcBorders>
              <w:top w:val="outset" w:color="auto" w:sz="6" w:space="0"/>
              <w:left w:val="outset" w:color="auto" w:sz="6" w:space="0"/>
              <w:right w:val="outset" w:color="auto" w:sz="6" w:space="0"/>
            </w:tcBorders>
            <w:noWrap w:val="0"/>
            <w:vAlign w:val="center"/>
          </w:tcPr>
          <w:p>
            <w:pPr>
              <w:widowControl/>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lang w:eastAsia="zh-CN"/>
              </w:rPr>
              <w:t>金额：</w:t>
            </w:r>
          </w:p>
          <w:p>
            <w:pPr>
              <w:widowControl/>
              <w:jc w:val="both"/>
              <w:rPr>
                <w:rFonts w:hint="eastAsia" w:ascii="宋体" w:hAnsi="宋体" w:eastAsia="宋体" w:cs="宋体"/>
                <w:color w:val="auto"/>
                <w:szCs w:val="21"/>
                <w:highlight w:val="none"/>
              </w:rPr>
            </w:pPr>
            <w:r>
              <w:rPr>
                <w:rFonts w:hint="eastAsia" w:ascii="宋体" w:hAnsi="宋体" w:cs="宋体"/>
                <w:color w:val="auto"/>
                <w:kern w:val="0"/>
                <w:szCs w:val="21"/>
                <w:highlight w:val="none"/>
                <w:lang w:eastAsia="zh-CN"/>
              </w:rPr>
              <w:t>大写金额：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2" w:hRule="atLeast"/>
          <w:tblHeader/>
        </w:trPr>
        <w:tc>
          <w:tcPr>
            <w:tcW w:w="427" w:type="dxa"/>
            <w:vMerge w:val="continue"/>
            <w:tcBorders>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p>
        </w:tc>
        <w:tc>
          <w:tcPr>
            <w:tcW w:w="40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121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职工</w:t>
            </w:r>
            <w:r>
              <w:rPr>
                <w:rFonts w:hint="eastAsia" w:ascii="宋体" w:hAnsi="宋体" w:eastAsia="宋体" w:cs="宋体"/>
                <w:color w:val="auto"/>
                <w:szCs w:val="21"/>
                <w:highlight w:val="none"/>
                <w:lang w:eastAsia="zh-CN"/>
              </w:rPr>
              <w:t>团体人身保险</w:t>
            </w:r>
          </w:p>
        </w:tc>
        <w:tc>
          <w:tcPr>
            <w:tcW w:w="123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eastAsia="宋体" w:cs="宋体"/>
                <w:color w:val="auto"/>
                <w:szCs w:val="21"/>
                <w:highlight w:val="none"/>
              </w:rPr>
            </w:pPr>
            <w:r>
              <w:rPr>
                <w:rFonts w:hint="eastAsia" w:ascii="宋体" w:hAnsi="宋体" w:eastAsia="宋体" w:cs="宋体"/>
                <w:color w:val="auto"/>
                <w:szCs w:val="21"/>
                <w:highlight w:val="none"/>
              </w:rPr>
              <w:t>104</w:t>
            </w:r>
          </w:p>
        </w:tc>
        <w:tc>
          <w:tcPr>
            <w:tcW w:w="115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rPr>
            </w:pPr>
          </w:p>
        </w:tc>
        <w:tc>
          <w:tcPr>
            <w:tcW w:w="1284"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eastAsia="宋体" w:cs="宋体"/>
                <w:color w:val="auto"/>
                <w:szCs w:val="21"/>
                <w:highlight w:val="none"/>
              </w:rPr>
            </w:pPr>
          </w:p>
        </w:tc>
        <w:tc>
          <w:tcPr>
            <w:tcW w:w="3683" w:type="dxa"/>
            <w:vMerge w:val="continue"/>
            <w:tcBorders>
              <w:left w:val="outset" w:color="auto" w:sz="6" w:space="0"/>
              <w:right w:val="outset" w:color="auto" w:sz="6" w:space="0"/>
            </w:tcBorders>
            <w:noWrap w:val="0"/>
            <w:vAlign w:val="center"/>
          </w:tcPr>
          <w:p>
            <w:pPr>
              <w:widowControl/>
              <w:jc w:val="center"/>
              <w:rPr>
                <w:rFonts w:hint="eastAsia" w:ascii="宋体" w:hAnsi="宋体" w:eastAsia="宋体" w:cs="宋体"/>
                <w:color w:val="auto"/>
                <w:szCs w:val="21"/>
                <w:highlight w:val="none"/>
                <w:shd w:val="clear" w:color="auto" w:fill="FFFFFF"/>
              </w:rPr>
            </w:pPr>
          </w:p>
        </w:tc>
      </w:tr>
    </w:tbl>
    <w:p>
      <w:pPr>
        <w:spacing w:line="360" w:lineRule="exact"/>
        <w:rPr>
          <w:rFonts w:hint="eastAsia" w:ascii="宋体" w:hAnsi="宋体" w:eastAsia="宋体" w:cs="Times New Roman"/>
          <w:color w:val="auto"/>
          <w:szCs w:val="21"/>
          <w:highlight w:val="none"/>
          <w:u w:val="single"/>
        </w:rPr>
      </w:pPr>
    </w:p>
    <w:p>
      <w:pPr>
        <w:tabs>
          <w:tab w:val="left" w:pos="5355"/>
        </w:tabs>
        <w:rPr>
          <w:rFonts w:hint="eastAsia" w:ascii="宋体" w:hAnsi="宋体" w:eastAsia="宋体" w:cs="Times New Roman"/>
          <w:b/>
          <w:color w:val="auto"/>
          <w:szCs w:val="21"/>
          <w:highlight w:val="none"/>
        </w:rPr>
      </w:pPr>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9" w:hRule="atLeast"/>
        </w:trPr>
        <w:tc>
          <w:tcPr>
            <w:tcW w:w="9356" w:type="dxa"/>
            <w:noWrap w:val="0"/>
            <w:vAlign w:val="top"/>
          </w:tcPr>
          <w:p>
            <w:pPr>
              <w:tabs>
                <w:tab w:val="left" w:pos="5355"/>
              </w:tabs>
              <w:rPr>
                <w:rFonts w:hint="eastAsia" w:ascii="宋体" w:hAnsi="宋体" w:eastAsia="宋体" w:cs="Times New Roman"/>
                <w:b/>
                <w:color w:val="auto"/>
                <w:szCs w:val="21"/>
                <w:highlight w:val="none"/>
              </w:rPr>
            </w:pPr>
            <w:r>
              <w:rPr>
                <w:rFonts w:hint="eastAsia" w:ascii="宋体" w:hAnsi="宋体" w:eastAsia="宋体" w:cs="Times New Roman"/>
                <w:b/>
                <w:color w:val="auto"/>
                <w:szCs w:val="21"/>
                <w:highlight w:val="none"/>
              </w:rPr>
              <w:t>供应商其他补充承诺事项：</w:t>
            </w:r>
          </w:p>
          <w:p>
            <w:pPr>
              <w:tabs>
                <w:tab w:val="left" w:pos="5355"/>
              </w:tabs>
              <w:rPr>
                <w:rFonts w:hint="eastAsia" w:ascii="宋体" w:hAnsi="宋体" w:eastAsia="宋体" w:cs="Times New Roman"/>
                <w:b/>
                <w:color w:val="auto"/>
                <w:szCs w:val="21"/>
                <w:highlight w:val="none"/>
              </w:rPr>
            </w:pPr>
          </w:p>
        </w:tc>
      </w:tr>
    </w:tbl>
    <w:p>
      <w:pPr>
        <w:tabs>
          <w:tab w:val="left" w:pos="5355"/>
        </w:tabs>
        <w:rPr>
          <w:rFonts w:hint="eastAsia" w:ascii="宋体" w:hAnsi="宋体" w:eastAsia="宋体" w:cs="Times New Roman"/>
          <w:b/>
          <w:color w:val="auto"/>
          <w:szCs w:val="21"/>
          <w:highlight w:val="none"/>
        </w:rPr>
      </w:pPr>
    </w:p>
    <w:p>
      <w:pPr>
        <w:widowControl/>
        <w:spacing w:line="435" w:lineRule="atLeast"/>
        <w:rPr>
          <w:rFonts w:hint="eastAsia" w:ascii="宋体" w:hAnsi="宋体" w:eastAsia="宋体" w:cs="宋体"/>
          <w:color w:val="auto"/>
          <w:kern w:val="0"/>
          <w:szCs w:val="21"/>
          <w:highlight w:val="none"/>
        </w:rPr>
      </w:pPr>
    </w:p>
    <w:p>
      <w:pPr>
        <w:widowControl/>
        <w:spacing w:line="435" w:lineRule="atLeas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供应商代表：    （签字） </w:t>
      </w:r>
    </w:p>
    <w:p>
      <w:pPr>
        <w:widowControl/>
        <w:spacing w:line="435" w:lineRule="atLeas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供应商名称：    （全称加盖公章） </w:t>
      </w:r>
    </w:p>
    <w:p>
      <w:pPr>
        <w:widowControl/>
        <w:spacing w:line="435" w:lineRule="atLeas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    年    月    日</w:t>
      </w:r>
    </w:p>
    <w:p>
      <w:pPr>
        <w:widowControl/>
        <w:spacing w:line="435" w:lineRule="atLeas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color w:val="auto"/>
          <w:kern w:val="0"/>
          <w:szCs w:val="21"/>
          <w:highlight w:val="none"/>
        </w:rPr>
        <w:br w:type="textWrapping"/>
      </w:r>
      <w:r>
        <w:rPr>
          <w:rFonts w:hint="eastAsia" w:ascii="宋体" w:hAnsi="宋体" w:cs="宋体"/>
          <w:b/>
          <w:color w:val="auto"/>
          <w:kern w:val="0"/>
          <w:szCs w:val="21"/>
          <w:highlight w:val="none"/>
        </w:rPr>
        <w:t xml:space="preserve">附件3    </w:t>
      </w:r>
      <w:r>
        <w:rPr>
          <w:rFonts w:hint="eastAsia" w:ascii="宋体" w:hAnsi="宋体" w:cs="宋体"/>
          <w:b/>
          <w:bCs/>
          <w:color w:val="auto"/>
          <w:kern w:val="0"/>
          <w:szCs w:val="21"/>
          <w:highlight w:val="none"/>
        </w:rPr>
        <w:t>资格证明文件</w:t>
      </w:r>
    </w:p>
    <w:p>
      <w:pPr>
        <w:widowControl/>
        <w:spacing w:line="465" w:lineRule="atLeast"/>
        <w:jc w:val="center"/>
        <w:rPr>
          <w:rFonts w:hint="eastAsia" w:ascii="宋体" w:hAnsi="宋体" w:cs="宋体"/>
          <w:b/>
          <w:color w:val="auto"/>
          <w:kern w:val="0"/>
          <w:szCs w:val="21"/>
          <w:highlight w:val="none"/>
        </w:rPr>
      </w:pPr>
      <w:r>
        <w:rPr>
          <w:rFonts w:hint="eastAsia" w:ascii="宋体" w:hAnsi="宋体" w:cs="宋体"/>
          <w:b/>
          <w:color w:val="auto"/>
          <w:kern w:val="0"/>
          <w:szCs w:val="21"/>
          <w:highlight w:val="none"/>
        </w:rPr>
        <w:t xml:space="preserve">附件3-1  </w:t>
      </w:r>
      <w:r>
        <w:rPr>
          <w:rFonts w:hint="eastAsia" w:ascii="宋体" w:hAnsi="宋体" w:cs="宋体"/>
          <w:b/>
          <w:bCs/>
          <w:color w:val="auto"/>
          <w:kern w:val="0"/>
          <w:szCs w:val="21"/>
          <w:highlight w:val="none"/>
        </w:rPr>
        <w:t>参加竞争性谈判的声明函</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致：宁德市有信产权交易服务有限公司</w:t>
      </w:r>
    </w:p>
    <w:p>
      <w:pPr>
        <w:widowControl/>
        <w:spacing w:line="435" w:lineRule="atLeas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1、关于贵方______年______月______日</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项目（项目编号:   </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rPr>
        <w:t xml:space="preserve"> ）的采购公告（或采购邀请），本签字人代表供应商参加竞争性谈判，我方提供竞争性谈判文件中规定的相应资料和说明。本签字人确认响应文件中所有提交的文件、声明或资料（包括但不限于资格证明文件）是真实的、合法的、准确的、有效的。</w:t>
      </w:r>
    </w:p>
    <w:p>
      <w:pPr>
        <w:widowControl/>
        <w:spacing w:line="360" w:lineRule="atLeast"/>
        <w:ind w:left="54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2、供应商的基本概况：</w:t>
      </w:r>
    </w:p>
    <w:p>
      <w:pPr>
        <w:widowControl/>
        <w:spacing w:line="360" w:lineRule="atLeas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2.1供应商单位名称：</w:t>
      </w:r>
    </w:p>
    <w:p>
      <w:pPr>
        <w:widowControl/>
        <w:spacing w:line="360" w:lineRule="atLeas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2.2注册地址：</w:t>
      </w:r>
    </w:p>
    <w:p>
      <w:pPr>
        <w:widowControl/>
        <w:spacing w:line="360" w:lineRule="atLeas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2.3单位负责人姓名：    性别：    年龄：    职务：    。</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备注：“单位负责人”指单位法定代表人（供应商为法人的）或法律、法规规定代表单位行使职权的主要负责人（供应商为其他组织的）。</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对于接受联合体形式的谈判且供应商是联合体的，则联合体各成员都应当提交本资格证明文件。</w:t>
      </w:r>
    </w:p>
    <w:p>
      <w:pPr>
        <w:widowControl/>
        <w:spacing w:line="435" w:lineRule="atLeast"/>
        <w:jc w:val="left"/>
        <w:rPr>
          <w:rFonts w:hint="eastAsia" w:ascii="宋体" w:hAnsi="宋体" w:cs="宋体"/>
          <w:color w:val="auto"/>
          <w:kern w:val="0"/>
          <w:szCs w:val="21"/>
          <w:highlight w:val="none"/>
        </w:rPr>
      </w:pP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供应商名称：    （全称并加盖公章） </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spacing w:line="375" w:lineRule="atLeast"/>
        <w:jc w:val="left"/>
        <w:rPr>
          <w:rFonts w:hint="eastAsia" w:ascii="宋体" w:hAnsi="宋体" w:cs="宋体"/>
          <w:color w:val="auto"/>
          <w:kern w:val="0"/>
          <w:szCs w:val="21"/>
          <w:highlight w:val="none"/>
        </w:rPr>
      </w:pPr>
    </w:p>
    <w:p>
      <w:pPr>
        <w:widowControl/>
        <w:spacing w:line="375" w:lineRule="atLeast"/>
        <w:jc w:val="left"/>
        <w:rPr>
          <w:rFonts w:hint="eastAsia" w:ascii="宋体" w:hAnsi="宋体" w:cs="宋体"/>
          <w:color w:val="auto"/>
          <w:kern w:val="0"/>
          <w:szCs w:val="21"/>
          <w:highlight w:val="none"/>
        </w:rPr>
      </w:pPr>
    </w:p>
    <w:p>
      <w:pPr>
        <w:widowControl/>
        <w:spacing w:line="375" w:lineRule="atLeast"/>
        <w:jc w:val="left"/>
        <w:rPr>
          <w:rFonts w:hint="eastAsia" w:ascii="宋体" w:hAnsi="宋体" w:cs="宋体"/>
          <w:color w:val="auto"/>
          <w:kern w:val="0"/>
          <w:szCs w:val="21"/>
          <w:highlight w:val="none"/>
        </w:rPr>
      </w:pPr>
    </w:p>
    <w:p>
      <w:pPr>
        <w:widowControl/>
        <w:spacing w:line="375" w:lineRule="atLeast"/>
        <w:jc w:val="left"/>
        <w:rPr>
          <w:rFonts w:hint="eastAsia" w:ascii="宋体" w:hAnsi="宋体" w:cs="宋体"/>
          <w:color w:val="auto"/>
          <w:kern w:val="0"/>
          <w:szCs w:val="21"/>
          <w:highlight w:val="none"/>
        </w:rPr>
      </w:pPr>
    </w:p>
    <w:p>
      <w:pPr>
        <w:widowControl/>
        <w:spacing w:line="375" w:lineRule="atLeast"/>
        <w:jc w:val="left"/>
        <w:rPr>
          <w:rFonts w:hint="eastAsia" w:ascii="宋体" w:hAnsi="宋体" w:cs="宋体"/>
          <w:color w:val="auto"/>
          <w:kern w:val="0"/>
          <w:szCs w:val="21"/>
          <w:highlight w:val="none"/>
        </w:rPr>
      </w:pPr>
    </w:p>
    <w:p>
      <w:pPr>
        <w:widowControl/>
        <w:spacing w:line="375" w:lineRule="atLeast"/>
        <w:jc w:val="left"/>
        <w:rPr>
          <w:rFonts w:hint="eastAsia" w:ascii="宋体" w:hAnsi="宋体" w:cs="宋体"/>
          <w:color w:val="auto"/>
          <w:kern w:val="0"/>
          <w:szCs w:val="21"/>
          <w:highlight w:val="none"/>
        </w:rPr>
      </w:pPr>
    </w:p>
    <w:p>
      <w:pPr>
        <w:widowControl/>
        <w:spacing w:line="375" w:lineRule="atLeast"/>
        <w:jc w:val="left"/>
        <w:rPr>
          <w:rFonts w:hint="eastAsia" w:ascii="宋体" w:hAnsi="宋体" w:cs="宋体"/>
          <w:color w:val="auto"/>
          <w:kern w:val="0"/>
          <w:szCs w:val="21"/>
          <w:highlight w:val="none"/>
        </w:rPr>
      </w:pPr>
    </w:p>
    <w:p>
      <w:pPr>
        <w:widowControl/>
        <w:spacing w:line="375" w:lineRule="atLeast"/>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color w:val="auto"/>
          <w:kern w:val="0"/>
          <w:szCs w:val="21"/>
          <w:highlight w:val="none"/>
        </w:rPr>
        <w:br w:type="textWrapping"/>
      </w:r>
      <w:r>
        <w:rPr>
          <w:rFonts w:hint="eastAsia" w:ascii="宋体" w:hAnsi="宋体" w:cs="宋体"/>
          <w:b/>
          <w:color w:val="auto"/>
          <w:kern w:val="0"/>
          <w:szCs w:val="21"/>
          <w:highlight w:val="none"/>
        </w:rPr>
        <w:t xml:space="preserve">附件3-2    </w:t>
      </w:r>
      <w:r>
        <w:rPr>
          <w:rFonts w:hint="eastAsia" w:ascii="宋体" w:hAnsi="宋体" w:cs="宋体"/>
          <w:b/>
          <w:bCs/>
          <w:color w:val="auto"/>
          <w:kern w:val="0"/>
          <w:szCs w:val="21"/>
          <w:highlight w:val="none"/>
        </w:rPr>
        <w:t>供应商的资格声明</w:t>
      </w:r>
    </w:p>
    <w:p>
      <w:pPr>
        <w:widowControl/>
        <w:spacing w:line="375" w:lineRule="atLeas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致：宁德市有信产权交易服务有限公司</w:t>
      </w:r>
    </w:p>
    <w:p>
      <w:pPr>
        <w:widowControl/>
        <w:spacing w:line="375" w:lineRule="atLeast"/>
        <w:ind w:firstLine="413" w:firstLineChars="196"/>
        <w:rPr>
          <w:rFonts w:hint="eastAsia" w:ascii="宋体" w:hAnsi="宋体" w:cs="宋体"/>
          <w:color w:val="auto"/>
          <w:kern w:val="0"/>
          <w:szCs w:val="21"/>
          <w:highlight w:val="none"/>
        </w:rPr>
      </w:pPr>
      <w:r>
        <w:rPr>
          <w:rFonts w:hint="eastAsia" w:ascii="宋体" w:hAnsi="宋体" w:cs="宋体"/>
          <w:b/>
          <w:bCs/>
          <w:color w:val="auto"/>
          <w:kern w:val="0"/>
          <w:szCs w:val="21"/>
          <w:highlight w:val="none"/>
        </w:rPr>
        <w:t>1、</w:t>
      </w:r>
      <w:r>
        <w:rPr>
          <w:rFonts w:hint="eastAsia" w:ascii="宋体" w:hAnsi="宋体" w:cs="宋体"/>
          <w:color w:val="auto"/>
          <w:kern w:val="0"/>
          <w:szCs w:val="21"/>
          <w:highlight w:val="none"/>
        </w:rPr>
        <w:t>我方已知晓竞争性谈判文件要求并认真审核自身情况，在此郑重声明，我方具备并满足下列各项条款的规定。本声明如有虚假或不实之处，我方将失去合格供应商资格且我方的谈判保证金将不予退还。</w:t>
      </w:r>
    </w:p>
    <w:tbl>
      <w:tblPr>
        <w:tblStyle w:val="18"/>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5625"/>
        <w:gridCol w:w="289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blCellSpacing w:w="15" w:type="dxa"/>
        </w:trPr>
        <w:tc>
          <w:tcPr>
            <w:tcW w:w="5580" w:type="dxa"/>
            <w:tcBorders>
              <w:top w:val="outset" w:color="auto" w:sz="6"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b/>
                <w:bCs/>
                <w:color w:val="auto"/>
                <w:kern w:val="0"/>
                <w:szCs w:val="21"/>
                <w:highlight w:val="none"/>
              </w:rPr>
              <w:t>《中华人民共和国政府采购法》第二十二条对供应商的要求</w:t>
            </w:r>
          </w:p>
        </w:tc>
        <w:tc>
          <w:tcPr>
            <w:tcW w:w="2850" w:type="dxa"/>
            <w:tcBorders>
              <w:top w:val="outset" w:color="auto" w:sz="6"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b/>
                <w:bCs/>
                <w:color w:val="auto"/>
                <w:kern w:val="0"/>
                <w:szCs w:val="21"/>
                <w:highlight w:val="none"/>
              </w:rPr>
              <w:t>供应商对是否符合要求做如实声明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（1）具有独立承担民事责任的能力</w:t>
            </w:r>
          </w:p>
        </w:tc>
        <w:tc>
          <w:tcPr>
            <w:tcW w:w="2850"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（2）具有良好的商业信誉和健全的财务会计制度</w:t>
            </w:r>
          </w:p>
        </w:tc>
        <w:tc>
          <w:tcPr>
            <w:tcW w:w="2850"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（3）具有履行合同所必需的设备和专业技术能力</w:t>
            </w:r>
          </w:p>
        </w:tc>
        <w:tc>
          <w:tcPr>
            <w:tcW w:w="2850"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（4）有依法缴纳税收和社会保障资金的良好记录</w:t>
            </w:r>
          </w:p>
        </w:tc>
        <w:tc>
          <w:tcPr>
            <w:tcW w:w="2850"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（5）参加政府采购活动前三年内，在经营活动中没有重大违法记录</w:t>
            </w:r>
          </w:p>
        </w:tc>
        <w:tc>
          <w:tcPr>
            <w:tcW w:w="2850"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（6）法律、行政法规规定的其他条件。</w:t>
            </w:r>
          </w:p>
        </w:tc>
        <w:tc>
          <w:tcPr>
            <w:tcW w:w="2850"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b/>
                <w:bCs/>
                <w:color w:val="auto"/>
                <w:kern w:val="0"/>
                <w:szCs w:val="21"/>
                <w:highlight w:val="none"/>
              </w:rPr>
              <w:t>谈判文件对合格供应商的一般规定</w:t>
            </w:r>
          </w:p>
        </w:tc>
        <w:tc>
          <w:tcPr>
            <w:tcW w:w="2850"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b/>
                <w:bCs/>
                <w:color w:val="auto"/>
                <w:kern w:val="0"/>
                <w:szCs w:val="21"/>
                <w:highlight w:val="none"/>
              </w:rPr>
              <w:t>供应商对是否违反一般规定做如实声明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供应商应当遵守中国的有关法律、法规和规章的规定，参加政府采购活动时已经自觉检查并按照政府采购相关法律规定，主动回避相应利害关系。</w:t>
            </w:r>
          </w:p>
        </w:tc>
        <w:tc>
          <w:tcPr>
            <w:tcW w:w="2850"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为采购项目提供整体设计、规范编制或项目管理、监理、检测等服务的供应商，不得再参加该采购项目除整体设计、规范编制和项目管理、监理、检测等服务之外的其他采购活动。</w:t>
            </w:r>
          </w:p>
        </w:tc>
        <w:tc>
          <w:tcPr>
            <w:tcW w:w="2850"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spacing w:line="37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列入失信被执行人、重大税收违法案件当事人名单、政府采购严重违法失信行为记录名单的供应商，不得参加政府采购活动。</w:t>
            </w:r>
          </w:p>
        </w:tc>
        <w:tc>
          <w:tcPr>
            <w:tcW w:w="2850"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bl>
    <w:p>
      <w:pPr>
        <w:widowControl/>
        <w:spacing w:line="375" w:lineRule="atLeast"/>
        <w:ind w:firstLine="480"/>
        <w:rPr>
          <w:rFonts w:hint="eastAsia" w:ascii="宋体" w:hAnsi="宋体" w:cs="宋体"/>
          <w:color w:val="auto"/>
          <w:kern w:val="0"/>
          <w:szCs w:val="21"/>
          <w:highlight w:val="none"/>
        </w:rPr>
      </w:pPr>
      <w:r>
        <w:rPr>
          <w:rFonts w:hint="eastAsia" w:ascii="宋体" w:hAnsi="宋体" w:cs="宋体"/>
          <w:color w:val="auto"/>
          <w:kern w:val="0"/>
          <w:szCs w:val="21"/>
          <w:highlight w:val="none"/>
        </w:rPr>
        <w:t>2、我方对上述声明的真实性、合法性、准确性、有效性负责，并愿意根据谈判文件和谈判过程中贵方要求提供全部现有资料、数据、文件等予以证实。</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备注：对于接受联合体形式的谈判且供应商是联合体的，则联合体各成员都应当提交本资格证明文件。</w:t>
      </w:r>
    </w:p>
    <w:p>
      <w:pPr>
        <w:widowControl/>
        <w:spacing w:line="37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 </w:t>
      </w:r>
    </w:p>
    <w:p>
      <w:pPr>
        <w:widowControl/>
        <w:spacing w:line="37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（全称并加盖公章）</w:t>
      </w:r>
    </w:p>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  期：    年    月    日</w:t>
      </w:r>
    </w:p>
    <w:p>
      <w:pPr>
        <w:widowControl/>
        <w:spacing w:line="435" w:lineRule="atLeast"/>
        <w:jc w:val="center"/>
        <w:rPr>
          <w:rFonts w:hint="eastAsia" w:ascii="宋体" w:hAnsi="宋体" w:cs="宋体"/>
          <w:b/>
          <w:color w:val="auto"/>
          <w:kern w:val="0"/>
          <w:szCs w:val="21"/>
          <w:highlight w:val="none"/>
        </w:rPr>
      </w:pPr>
      <w:r>
        <w:rPr>
          <w:rFonts w:hint="eastAsia" w:ascii="宋体" w:hAnsi="宋体" w:cs="宋体"/>
          <w:b/>
          <w:color w:val="auto"/>
          <w:kern w:val="0"/>
          <w:szCs w:val="21"/>
          <w:highlight w:val="none"/>
        </w:rPr>
        <w:br w:type="page"/>
      </w:r>
      <w:r>
        <w:rPr>
          <w:rFonts w:hint="eastAsia" w:ascii="宋体" w:hAnsi="宋体" w:cs="宋体"/>
          <w:b/>
          <w:color w:val="auto"/>
          <w:kern w:val="0"/>
          <w:szCs w:val="21"/>
          <w:highlight w:val="none"/>
        </w:rPr>
        <w:t xml:space="preserve">附件3-3    </w:t>
      </w:r>
      <w:r>
        <w:rPr>
          <w:rFonts w:hint="eastAsia" w:ascii="宋体" w:hAnsi="宋体" w:cs="宋体"/>
          <w:b/>
          <w:bCs/>
          <w:color w:val="auto"/>
          <w:kern w:val="0"/>
          <w:szCs w:val="21"/>
          <w:highlight w:val="none"/>
        </w:rPr>
        <w:t>单位负责人授权书</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致：宁德市有信产权交易服务有限公司</w:t>
      </w:r>
    </w:p>
    <w:p>
      <w:pPr>
        <w:widowControl/>
        <w:spacing w:line="360"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我方的单位负责人（填写“单位负责人全名”）授权（填写“供应商代表全名”）为我方的供应商代表，代表我方参加（填写“项目名称”）项目（项目编号：     ）的响应谈判，全权代表我方处理响应谈判过程的一切事宜，包括但不限于：递交响应文件、参与谈判、澄清、签约等工作。供应商代表在响应谈判过程中所签署的一切文件和处理与之有关的一切事务，我方均予以认可并对此承担责任。</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供应商代表无转委权。特此授权。</w:t>
      </w:r>
    </w:p>
    <w:p>
      <w:pPr>
        <w:widowControl/>
        <w:spacing w:line="360" w:lineRule="atLeas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（以下无正文）</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单位负责人：     身份证号：     手机：</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身份证号：     手机：</w:t>
      </w:r>
    </w:p>
    <w:p>
      <w:pPr>
        <w:widowControl/>
        <w:spacing w:line="360" w:lineRule="atLeast"/>
        <w:jc w:val="left"/>
        <w:rPr>
          <w:rFonts w:hint="eastAsia" w:ascii="宋体" w:hAnsi="宋体" w:cs="宋体"/>
          <w:color w:val="auto"/>
          <w:kern w:val="0"/>
          <w:szCs w:val="21"/>
          <w:highlight w:val="none"/>
        </w:rPr>
      </w:pP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授权方</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供应商：（全称并加盖单位公章）</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单位负责人签字或盖章： </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接受授权方</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供应商代表签字：</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签署日期：    年    月    日</w:t>
      </w:r>
    </w:p>
    <w:p>
      <w:pPr>
        <w:widowControl/>
        <w:spacing w:line="360" w:lineRule="atLeast"/>
        <w:jc w:val="right"/>
        <w:rPr>
          <w:rFonts w:hint="eastAsia" w:ascii="宋体" w:hAnsi="宋体" w:cs="宋体"/>
          <w:color w:val="auto"/>
          <w:kern w:val="0"/>
          <w:szCs w:val="21"/>
          <w:highlight w:val="none"/>
        </w:rPr>
      </w:pPr>
    </w:p>
    <w:p>
      <w:pPr>
        <w:widowControl/>
        <w:spacing w:line="40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附：单位负责人、供应商代表的身份证正反面复印件</w:t>
      </w:r>
    </w:p>
    <w:tbl>
      <w:tblPr>
        <w:tblStyle w:val="18"/>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856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45" w:hRule="atLeast"/>
          <w:tblCellSpacing w:w="15" w:type="dxa"/>
        </w:trPr>
        <w:tc>
          <w:tcPr>
            <w:tcW w:w="8505" w:type="dxa"/>
            <w:tcBorders>
              <w:top w:val="outset" w:color="auto" w:sz="6"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spacing w:line="405" w:lineRule="atLeast"/>
              <w:jc w:val="center"/>
              <w:rPr>
                <w:rFonts w:hint="eastAsia" w:ascii="宋体" w:hAnsi="宋体" w:cs="宋体"/>
                <w:b/>
                <w:bCs/>
                <w:color w:val="auto"/>
                <w:kern w:val="0"/>
                <w:szCs w:val="21"/>
                <w:highlight w:val="none"/>
              </w:rPr>
            </w:pPr>
          </w:p>
          <w:p>
            <w:pPr>
              <w:widowControl/>
              <w:spacing w:line="405" w:lineRule="atLeas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要求：真实、有效、清晰</w:t>
            </w:r>
          </w:p>
          <w:p>
            <w:pPr>
              <w:widowControl/>
              <w:spacing w:line="405" w:lineRule="atLeast"/>
              <w:jc w:val="center"/>
              <w:rPr>
                <w:rFonts w:hint="eastAsia" w:ascii="宋体" w:hAnsi="宋体" w:cs="宋体"/>
                <w:color w:val="auto"/>
                <w:kern w:val="0"/>
                <w:szCs w:val="21"/>
                <w:highlight w:val="none"/>
              </w:rPr>
            </w:pPr>
          </w:p>
        </w:tc>
      </w:tr>
    </w:tbl>
    <w:p>
      <w:pPr>
        <w:widowControl/>
        <w:spacing w:line="28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注意：</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1、企业（银行、保险、石油石化、电力、电信等行业除外）、事业单位和社会团体法人的“单位负责人”指</w:t>
      </w:r>
      <w:r>
        <w:rPr>
          <w:rFonts w:hint="eastAsia" w:ascii="宋体" w:hAnsi="宋体" w:cs="宋体"/>
          <w:b/>
          <w:bCs/>
          <w:color w:val="auto"/>
          <w:kern w:val="0"/>
          <w:szCs w:val="21"/>
          <w:highlight w:val="none"/>
        </w:rPr>
        <w:t>法定代表人</w:t>
      </w:r>
      <w:r>
        <w:rPr>
          <w:rFonts w:hint="eastAsia" w:ascii="宋体" w:hAnsi="宋体" w:cs="宋体"/>
          <w:color w:val="auto"/>
          <w:kern w:val="0"/>
          <w:szCs w:val="21"/>
          <w:highlight w:val="none"/>
        </w:rPr>
        <w:t>，即与实际提交的“营业执照等证明文件”载明的一致。</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2、银行、保险、石油石化、电力、电信等行业：以法人身份参加谈判的，“单位负责人”指</w:t>
      </w:r>
      <w:r>
        <w:rPr>
          <w:rFonts w:hint="eastAsia" w:ascii="宋体" w:hAnsi="宋体" w:cs="宋体"/>
          <w:b/>
          <w:bCs/>
          <w:color w:val="auto"/>
          <w:kern w:val="0"/>
          <w:szCs w:val="21"/>
          <w:highlight w:val="none"/>
        </w:rPr>
        <w:t>法定代表人</w:t>
      </w:r>
      <w:r>
        <w:rPr>
          <w:rFonts w:hint="eastAsia" w:ascii="宋体" w:hAnsi="宋体" w:cs="宋体"/>
          <w:color w:val="auto"/>
          <w:kern w:val="0"/>
          <w:szCs w:val="21"/>
          <w:highlight w:val="none"/>
        </w:rPr>
        <w:t>，即与实际提交的“营业执照等证明文件”载明的一致；以非法人身份参加谈判的，“单位负责人”指</w:t>
      </w:r>
      <w:r>
        <w:rPr>
          <w:rFonts w:hint="eastAsia" w:ascii="宋体" w:hAnsi="宋体" w:cs="宋体"/>
          <w:b/>
          <w:bCs/>
          <w:color w:val="auto"/>
          <w:kern w:val="0"/>
          <w:szCs w:val="21"/>
          <w:highlight w:val="none"/>
        </w:rPr>
        <w:t>代表单位行使职权的主要负责人</w:t>
      </w:r>
      <w:r>
        <w:rPr>
          <w:rFonts w:hint="eastAsia" w:ascii="宋体" w:hAnsi="宋体" w:cs="宋体"/>
          <w:color w:val="auto"/>
          <w:kern w:val="0"/>
          <w:szCs w:val="21"/>
          <w:highlight w:val="none"/>
        </w:rPr>
        <w:t>，即与实际提交的“营业执照等证明文件”载明的一致。</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widowControl/>
        <w:spacing w:line="28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4、对于接受联合体形式的谈判且供应商是联合体的，则只需要联合体的牵头方提交本授权书，在纸质响应文件正本中的本授权书应为原件。</w:t>
      </w:r>
    </w:p>
    <w:p>
      <w:pPr>
        <w:widowControl/>
        <w:spacing w:line="285" w:lineRule="atLeast"/>
        <w:rPr>
          <w:rFonts w:hint="eastAsia" w:ascii="宋体" w:hAnsi="宋体" w:cs="宋体"/>
          <w:color w:val="auto"/>
          <w:kern w:val="0"/>
          <w:szCs w:val="21"/>
          <w:highlight w:val="none"/>
        </w:rPr>
      </w:pPr>
    </w:p>
    <w:p>
      <w:pPr>
        <w:widowControl/>
        <w:spacing w:line="285" w:lineRule="atLeast"/>
        <w:rPr>
          <w:rFonts w:hint="eastAsia" w:ascii="宋体" w:hAnsi="宋体" w:cs="宋体"/>
          <w:color w:val="auto"/>
          <w:kern w:val="0"/>
          <w:szCs w:val="21"/>
          <w:highlight w:val="none"/>
        </w:rPr>
      </w:pPr>
    </w:p>
    <w:p>
      <w:pPr>
        <w:widowControl/>
        <w:spacing w:line="285" w:lineRule="atLeast"/>
        <w:rPr>
          <w:rFonts w:hint="eastAsia" w:ascii="宋体" w:hAnsi="宋体" w:cs="宋体"/>
          <w:color w:val="auto"/>
          <w:kern w:val="0"/>
          <w:szCs w:val="21"/>
          <w:highlight w:val="none"/>
        </w:rPr>
      </w:pPr>
    </w:p>
    <w:p>
      <w:pPr>
        <w:widowControl/>
        <w:spacing w:line="435" w:lineRule="atLeast"/>
        <w:jc w:val="center"/>
        <w:rPr>
          <w:rFonts w:hint="eastAsia" w:ascii="宋体" w:hAnsi="宋体" w:cs="宋体"/>
          <w:b/>
          <w:color w:val="auto"/>
          <w:kern w:val="0"/>
          <w:szCs w:val="21"/>
          <w:highlight w:val="none"/>
        </w:rPr>
      </w:pPr>
      <w:r>
        <w:rPr>
          <w:rFonts w:hint="eastAsia" w:ascii="宋体" w:hAnsi="宋体" w:cs="宋体"/>
          <w:b/>
          <w:color w:val="auto"/>
          <w:kern w:val="0"/>
          <w:szCs w:val="21"/>
          <w:highlight w:val="none"/>
        </w:rPr>
        <w:br w:type="page"/>
      </w:r>
      <w:r>
        <w:rPr>
          <w:rFonts w:hint="eastAsia" w:ascii="宋体" w:hAnsi="宋体" w:cs="宋体"/>
          <w:b/>
          <w:color w:val="auto"/>
          <w:kern w:val="0"/>
          <w:szCs w:val="21"/>
          <w:highlight w:val="none"/>
        </w:rPr>
        <w:t xml:space="preserve">附件3-4    </w:t>
      </w:r>
      <w:r>
        <w:rPr>
          <w:rFonts w:hint="eastAsia" w:ascii="宋体" w:hAnsi="宋体" w:cs="宋体"/>
          <w:b/>
          <w:bCs/>
          <w:color w:val="auto"/>
          <w:kern w:val="0"/>
          <w:szCs w:val="21"/>
          <w:highlight w:val="none"/>
        </w:rPr>
        <w:t>营业执照等证明文件</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致：宁德市有信产权交易服务有限公司</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（）供应商为法人（包括企业、事业单位和社会团体）的</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现附上由（填写“签发机关全称”）签发的我方统一社会信用代码（请填写法人的具体证照名称）复印件，该证明材料真实有效，否则我方负全部责任。</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（）供应商为非法人（包括其他组织、自然人）的</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□现附上由（填写“签发机关全称”）签发的我方（请填写非自然人的非法人的具体证照名称）复印件，该证明材料真实有效，否则我方负全部责任。</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□现附上由（填写“签发机关全称”）签发的我方（请填写自然人的身份证件名称）复印件，该证明材料真实有效，否则我方负全部责任。</w:t>
      </w: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注意：</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1、请供应商根据实际情况填写，在相应的（）中打“√”并选择相应的“□”（若有）后，再按照本格式的要求提供相应证明材料的复印件。</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3、供应商提供的相应证明材料复印件均应符合：内容完整、清晰、整洁，并由供应商加盖其单位公章。</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4、对于接受联合体形式的谈判且供应商是联合体的，则联合体各成员都应当提交本资格证明文件。</w:t>
      </w:r>
    </w:p>
    <w:p>
      <w:pPr>
        <w:widowControl/>
        <w:jc w:val="left"/>
        <w:rPr>
          <w:rFonts w:hint="eastAsia" w:ascii="宋体" w:hAnsi="宋体" w:cs="宋体"/>
          <w:color w:val="auto"/>
          <w:kern w:val="0"/>
          <w:szCs w:val="21"/>
          <w:highlight w:val="none"/>
        </w:rPr>
      </w:pP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 </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（全称并加盖公章）</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br w:type="textWrapping"/>
      </w:r>
    </w:p>
    <w:p>
      <w:pPr>
        <w:widowControl/>
        <w:spacing w:line="435" w:lineRule="atLeast"/>
        <w:jc w:val="center"/>
        <w:rPr>
          <w:rFonts w:hint="eastAsia" w:ascii="宋体" w:hAnsi="宋体" w:cs="宋体"/>
          <w:b/>
          <w:color w:val="auto"/>
          <w:kern w:val="0"/>
          <w:szCs w:val="21"/>
          <w:highlight w:val="none"/>
        </w:rPr>
      </w:pPr>
      <w:r>
        <w:rPr>
          <w:rFonts w:hint="eastAsia" w:ascii="宋体" w:hAnsi="宋体" w:cs="宋体"/>
          <w:b/>
          <w:color w:val="auto"/>
          <w:kern w:val="0"/>
          <w:szCs w:val="21"/>
          <w:highlight w:val="none"/>
        </w:rPr>
        <w:br w:type="page"/>
      </w:r>
      <w:r>
        <w:rPr>
          <w:rFonts w:hint="eastAsia" w:ascii="宋体" w:hAnsi="宋体" w:cs="宋体"/>
          <w:b/>
          <w:color w:val="auto"/>
          <w:kern w:val="0"/>
          <w:szCs w:val="21"/>
          <w:highlight w:val="none"/>
        </w:rPr>
        <w:t xml:space="preserve">附件3-5     </w:t>
      </w:r>
      <w:r>
        <w:rPr>
          <w:rFonts w:hint="eastAsia" w:ascii="宋体" w:hAnsi="宋体" w:cs="宋体"/>
          <w:b/>
          <w:bCs/>
          <w:color w:val="auto"/>
          <w:kern w:val="0"/>
          <w:szCs w:val="21"/>
          <w:highlight w:val="none"/>
        </w:rPr>
        <w:t>财务状况报告</w:t>
      </w:r>
    </w:p>
    <w:p>
      <w:pPr>
        <w:widowControl/>
        <w:spacing w:line="435" w:lineRule="atLeast"/>
        <w:ind w:firstLine="480"/>
        <w:rPr>
          <w:rFonts w:hint="eastAsia" w:ascii="宋体" w:hAnsi="宋体" w:cs="宋体"/>
          <w:color w:val="auto"/>
          <w:kern w:val="0"/>
          <w:szCs w:val="21"/>
          <w:highlight w:val="none"/>
        </w:rPr>
      </w:pPr>
      <w:r>
        <w:rPr>
          <w:rFonts w:hint="eastAsia" w:ascii="宋体" w:hAnsi="宋体" w:cs="宋体"/>
          <w:color w:val="auto"/>
          <w:kern w:val="0"/>
          <w:szCs w:val="21"/>
          <w:highlight w:val="none"/>
        </w:rPr>
        <w:t>致：宁德市有信产权交易服务有限公司</w:t>
      </w:r>
    </w:p>
    <w:p>
      <w:pPr>
        <w:pStyle w:val="16"/>
        <w:spacing w:before="75" w:beforeAutospacing="0" w:after="75" w:afterAutospacing="0" w:line="435" w:lineRule="atLeast"/>
        <w:ind w:firstLine="480"/>
        <w:jc w:val="both"/>
        <w:rPr>
          <w:rFonts w:ascii="微软雅黑" w:hAnsi="微软雅黑" w:eastAsia="微软雅黑" w:cs="微软雅黑"/>
          <w:color w:val="auto"/>
          <w:sz w:val="21"/>
          <w:szCs w:val="21"/>
          <w:highlight w:val="none"/>
        </w:rPr>
      </w:pPr>
      <w:r>
        <w:rPr>
          <w:color w:val="auto"/>
          <w:sz w:val="21"/>
          <w:szCs w:val="21"/>
          <w:highlight w:val="none"/>
        </w:rPr>
        <w:t>（</w:t>
      </w:r>
      <w:r>
        <w:rPr>
          <w:rFonts w:hint="eastAsia"/>
          <w:color w:val="auto"/>
          <w:sz w:val="21"/>
          <w:szCs w:val="21"/>
          <w:highlight w:val="none"/>
        </w:rPr>
        <w:t> ）供应商提供财务报告的</w:t>
      </w:r>
    </w:p>
    <w:p>
      <w:pPr>
        <w:pStyle w:val="16"/>
        <w:spacing w:before="75" w:beforeAutospacing="0" w:after="75" w:afterAutospacing="0" w:line="435" w:lineRule="atLeast"/>
        <w:ind w:firstLine="480"/>
        <w:jc w:val="both"/>
        <w:rPr>
          <w:rFonts w:hint="eastAsia" w:ascii="微软雅黑" w:hAnsi="微软雅黑" w:eastAsia="微软雅黑" w:cs="微软雅黑"/>
          <w:color w:val="auto"/>
          <w:sz w:val="21"/>
          <w:szCs w:val="21"/>
          <w:highlight w:val="none"/>
        </w:rPr>
      </w:pPr>
      <w:r>
        <w:rPr>
          <w:rFonts w:hint="eastAsia"/>
          <w:color w:val="auto"/>
          <w:sz w:val="21"/>
          <w:szCs w:val="21"/>
          <w:highlight w:val="none"/>
        </w:rPr>
        <w:t>□企业适用：现附上我方（填写“具体的年度、或半年度、或季度”）财务报告复印件，包括资产负债表、利润表、现金流量表、所有者权益变动表及其附注（若有），上述证明材料真实有效，否则我方负全部责任。</w:t>
      </w:r>
    </w:p>
    <w:p>
      <w:pPr>
        <w:pStyle w:val="16"/>
        <w:spacing w:before="75" w:beforeAutospacing="0" w:after="75" w:afterAutospacing="0" w:line="435" w:lineRule="atLeast"/>
        <w:ind w:firstLine="480"/>
        <w:jc w:val="both"/>
        <w:rPr>
          <w:rFonts w:hint="eastAsia" w:ascii="微软雅黑" w:hAnsi="微软雅黑" w:eastAsia="微软雅黑" w:cs="微软雅黑"/>
          <w:color w:val="auto"/>
          <w:sz w:val="21"/>
          <w:szCs w:val="21"/>
          <w:highlight w:val="none"/>
        </w:rPr>
      </w:pPr>
      <w:r>
        <w:rPr>
          <w:rFonts w:hint="eastAsia"/>
          <w:color w:val="auto"/>
          <w:sz w:val="21"/>
          <w:szCs w:val="21"/>
          <w:highlight w:val="none"/>
        </w:rPr>
        <w:t>□事业单位适用：现附上我方（填写“具体的年度、或半年度、或季度”）财务报告复印件，包括资产负债表、收入支出表或收入费用表、财政补助收入支出表（若有），上述证明材料真实有效，否则我方负全部责任。</w:t>
      </w:r>
    </w:p>
    <w:p>
      <w:pPr>
        <w:pStyle w:val="16"/>
        <w:spacing w:before="75" w:beforeAutospacing="0" w:after="75" w:afterAutospacing="0" w:line="435" w:lineRule="atLeast"/>
        <w:ind w:firstLine="480"/>
        <w:jc w:val="both"/>
        <w:rPr>
          <w:rFonts w:hint="eastAsia" w:ascii="微软雅黑" w:hAnsi="微软雅黑" w:eastAsia="微软雅黑" w:cs="微软雅黑"/>
          <w:color w:val="auto"/>
          <w:sz w:val="21"/>
          <w:szCs w:val="21"/>
          <w:highlight w:val="none"/>
        </w:rPr>
      </w:pPr>
      <w:r>
        <w:rPr>
          <w:rFonts w:hint="eastAsia"/>
          <w:color w:val="auto"/>
          <w:sz w:val="21"/>
          <w:szCs w:val="21"/>
          <w:highlight w:val="none"/>
        </w:rPr>
        <w:t>□社会团体适用：现附上我方（填写“具体的年度、或半年度、或季度”）财务报告复印件，包括资产负债表、业务活动表、现金流量表，上述证明材料真实有效，否则我方负全部责任。</w:t>
      </w:r>
    </w:p>
    <w:p>
      <w:pPr>
        <w:pStyle w:val="16"/>
        <w:spacing w:before="75" w:beforeAutospacing="0" w:after="75" w:afterAutospacing="0" w:line="435" w:lineRule="atLeast"/>
        <w:ind w:firstLine="480"/>
        <w:jc w:val="both"/>
        <w:rPr>
          <w:rFonts w:hint="eastAsia" w:ascii="微软雅黑" w:hAnsi="微软雅黑" w:eastAsia="微软雅黑" w:cs="微软雅黑"/>
          <w:color w:val="auto"/>
          <w:sz w:val="21"/>
          <w:szCs w:val="21"/>
          <w:highlight w:val="none"/>
        </w:rPr>
      </w:pPr>
      <w:r>
        <w:rPr>
          <w:rFonts w:hint="eastAsia"/>
          <w:color w:val="auto"/>
          <w:sz w:val="21"/>
          <w:szCs w:val="21"/>
          <w:highlight w:val="none"/>
        </w:rPr>
        <w:t>（ ）供应商提供资信证明的</w:t>
      </w:r>
    </w:p>
    <w:p>
      <w:pPr>
        <w:pStyle w:val="16"/>
        <w:spacing w:before="75" w:beforeAutospacing="0" w:after="75" w:afterAutospacing="0" w:line="435" w:lineRule="atLeast"/>
        <w:ind w:firstLine="480"/>
        <w:jc w:val="both"/>
        <w:rPr>
          <w:rFonts w:hint="eastAsia" w:ascii="微软雅黑" w:hAnsi="微软雅黑" w:eastAsia="微软雅黑" w:cs="微软雅黑"/>
          <w:color w:val="auto"/>
          <w:sz w:val="21"/>
          <w:szCs w:val="21"/>
          <w:highlight w:val="none"/>
        </w:rPr>
      </w:pPr>
      <w:r>
        <w:rPr>
          <w:rFonts w:hint="eastAsia"/>
          <w:color w:val="auto"/>
          <w:sz w:val="21"/>
          <w:szCs w:val="21"/>
          <w:highlight w:val="none"/>
        </w:rPr>
        <w:t>□非自然人适用：现附上我方银行：（填写“基本户的开户银行全称”）出具的资信证明复印件，上述证明材料真实有效，否则我方负全部责任。</w:t>
      </w:r>
    </w:p>
    <w:p>
      <w:pPr>
        <w:pStyle w:val="16"/>
        <w:spacing w:before="75" w:beforeAutospacing="0" w:after="75" w:afterAutospacing="0" w:line="435" w:lineRule="atLeast"/>
        <w:ind w:firstLine="480"/>
        <w:jc w:val="both"/>
        <w:rPr>
          <w:rFonts w:hint="eastAsia" w:ascii="微软雅黑" w:hAnsi="微软雅黑" w:eastAsia="微软雅黑" w:cs="微软雅黑"/>
          <w:color w:val="auto"/>
          <w:sz w:val="21"/>
          <w:szCs w:val="21"/>
          <w:highlight w:val="none"/>
        </w:rPr>
      </w:pPr>
      <w:r>
        <w:rPr>
          <w:rFonts w:hint="eastAsia"/>
          <w:color w:val="auto"/>
          <w:sz w:val="21"/>
          <w:szCs w:val="21"/>
          <w:highlight w:val="none"/>
        </w:rPr>
        <w:t>□自然人适用：现附上我方银行：（填写自然人的“个人账户的开户银行全称”）出具的资信证明复印件，上述证明材料真实有效，否则我方负全部责任。</w:t>
      </w:r>
    </w:p>
    <w:p>
      <w:pPr>
        <w:pStyle w:val="16"/>
        <w:spacing w:before="75" w:beforeAutospacing="0" w:after="75" w:afterAutospacing="0" w:line="435" w:lineRule="atLeast"/>
        <w:ind w:firstLine="480"/>
        <w:jc w:val="both"/>
        <w:rPr>
          <w:rFonts w:hint="eastAsia" w:ascii="微软雅黑" w:hAnsi="微软雅黑" w:eastAsia="微软雅黑" w:cs="微软雅黑"/>
          <w:color w:val="auto"/>
          <w:sz w:val="21"/>
          <w:szCs w:val="21"/>
          <w:highlight w:val="none"/>
        </w:rPr>
      </w:pPr>
      <w:r>
        <w:rPr>
          <w:rFonts w:hint="eastAsia"/>
          <w:color w:val="auto"/>
          <w:sz w:val="21"/>
          <w:szCs w:val="21"/>
          <w:highlight w:val="none"/>
        </w:rPr>
        <w:t>（ ）供应商提供投标担保函的</w:t>
      </w:r>
    </w:p>
    <w:p>
      <w:pPr>
        <w:pStyle w:val="16"/>
        <w:spacing w:before="75" w:beforeAutospacing="0" w:after="75" w:afterAutospacing="0" w:line="435" w:lineRule="atLeast"/>
        <w:ind w:firstLine="480"/>
        <w:jc w:val="both"/>
        <w:rPr>
          <w:rFonts w:hint="eastAsia" w:ascii="微软雅黑" w:hAnsi="微软雅黑" w:eastAsia="微软雅黑" w:cs="微软雅黑"/>
          <w:color w:val="auto"/>
          <w:sz w:val="21"/>
          <w:szCs w:val="21"/>
          <w:highlight w:val="none"/>
        </w:rPr>
      </w:pPr>
      <w:r>
        <w:rPr>
          <w:rFonts w:hint="eastAsia"/>
          <w:color w:val="auto"/>
          <w:sz w:val="21"/>
          <w:szCs w:val="21"/>
          <w:highlight w:val="none"/>
        </w:rPr>
        <w:t>现附上由财政部门认可的政府采购专业担保机构：（填写“担保机构全称”）出具的投标担保函复印件，上述证明材料真实有效，否则我方负全部责任。</w:t>
      </w:r>
    </w:p>
    <w:p>
      <w:pPr>
        <w:pStyle w:val="16"/>
        <w:spacing w:before="75" w:beforeAutospacing="0" w:after="75" w:afterAutospacing="0"/>
        <w:rPr>
          <w:rFonts w:hint="eastAsia" w:ascii="微软雅黑" w:hAnsi="微软雅黑" w:eastAsia="微软雅黑" w:cs="微软雅黑"/>
          <w:color w:val="auto"/>
          <w:sz w:val="21"/>
          <w:szCs w:val="21"/>
          <w:highlight w:val="none"/>
        </w:rPr>
      </w:pPr>
      <w:r>
        <w:rPr>
          <w:rStyle w:val="21"/>
          <w:rFonts w:hint="eastAsia"/>
          <w:color w:val="auto"/>
          <w:sz w:val="21"/>
          <w:szCs w:val="21"/>
          <w:highlight w:val="none"/>
        </w:rPr>
        <w:t> </w:t>
      </w:r>
    </w:p>
    <w:p>
      <w:pPr>
        <w:pStyle w:val="16"/>
        <w:spacing w:before="75" w:beforeAutospacing="0" w:after="75" w:afterAutospacing="0"/>
        <w:rPr>
          <w:rFonts w:hint="eastAsia" w:ascii="微软雅黑" w:hAnsi="微软雅黑" w:eastAsia="微软雅黑" w:cs="微软雅黑"/>
          <w:color w:val="auto"/>
          <w:sz w:val="21"/>
          <w:szCs w:val="21"/>
          <w:highlight w:val="none"/>
        </w:rPr>
      </w:pPr>
      <w:r>
        <w:rPr>
          <w:rFonts w:hint="eastAsia"/>
          <w:color w:val="auto"/>
          <w:sz w:val="21"/>
          <w:szCs w:val="21"/>
          <w:highlight w:val="none"/>
          <w:lang w:eastAsia="zh-CN"/>
        </w:rPr>
        <w:t>※</w:t>
      </w:r>
      <w:r>
        <w:rPr>
          <w:rFonts w:hint="eastAsia"/>
          <w:color w:val="auto"/>
          <w:sz w:val="21"/>
          <w:szCs w:val="21"/>
          <w:highlight w:val="none"/>
        </w:rPr>
        <w:t>注意事项：</w:t>
      </w:r>
    </w:p>
    <w:p>
      <w:pPr>
        <w:pStyle w:val="16"/>
        <w:spacing w:before="75" w:beforeAutospacing="0" w:after="75" w:afterAutospacing="0"/>
        <w:ind w:firstLine="420"/>
        <w:rPr>
          <w:rFonts w:hint="eastAsia" w:ascii="微软雅黑" w:hAnsi="微软雅黑" w:eastAsia="微软雅黑" w:cs="微软雅黑"/>
          <w:color w:val="auto"/>
          <w:sz w:val="21"/>
          <w:szCs w:val="21"/>
          <w:highlight w:val="none"/>
        </w:rPr>
      </w:pPr>
      <w:r>
        <w:rPr>
          <w:rFonts w:hint="eastAsia"/>
          <w:color w:val="auto"/>
          <w:sz w:val="21"/>
          <w:szCs w:val="21"/>
          <w:highlight w:val="none"/>
        </w:rPr>
        <w:t>1、上文提供财务报告、资信证明、担保函共三大类型，请供应商按照自身实际情况编制填写，在其中相应的（）中打“√”并选择相应的“□”（若有）后，再按照本格式的要求提供相应证明材料的复印件即可。即供应商符合上述三大类型其中一种，并按要求提供相应证明资料即为满足。</w:t>
      </w:r>
    </w:p>
    <w:p>
      <w:pPr>
        <w:pStyle w:val="16"/>
        <w:spacing w:before="75" w:beforeAutospacing="0" w:after="75" w:afterAutospacing="0"/>
        <w:ind w:firstLine="420"/>
        <w:rPr>
          <w:rFonts w:hint="eastAsia" w:ascii="微软雅黑" w:hAnsi="微软雅黑" w:eastAsia="微软雅黑" w:cs="微软雅黑"/>
          <w:color w:val="auto"/>
          <w:sz w:val="21"/>
          <w:szCs w:val="21"/>
          <w:highlight w:val="none"/>
        </w:rPr>
      </w:pPr>
      <w:r>
        <w:rPr>
          <w:rFonts w:hint="eastAsia"/>
          <w:color w:val="auto"/>
          <w:sz w:val="21"/>
          <w:szCs w:val="21"/>
          <w:highlight w:val="none"/>
        </w:rPr>
        <w:t>2、供应商提供的财务报告复印件（成立年限按照首次响应文件递交截止时间推算）应符合下列规定：</w:t>
      </w:r>
    </w:p>
    <w:p>
      <w:pPr>
        <w:pStyle w:val="16"/>
        <w:spacing w:before="75" w:beforeAutospacing="0" w:after="75" w:afterAutospacing="0"/>
        <w:ind w:firstLine="420"/>
        <w:rPr>
          <w:rFonts w:hint="eastAsia" w:ascii="微软雅黑" w:hAnsi="微软雅黑" w:eastAsia="微软雅黑" w:cs="微软雅黑"/>
          <w:color w:val="auto"/>
          <w:sz w:val="21"/>
          <w:szCs w:val="21"/>
          <w:highlight w:val="none"/>
        </w:rPr>
      </w:pPr>
      <w:r>
        <w:rPr>
          <w:rFonts w:hint="eastAsia"/>
          <w:color w:val="auto"/>
          <w:sz w:val="21"/>
          <w:szCs w:val="21"/>
          <w:highlight w:val="none"/>
        </w:rPr>
        <w:t>2.1成立年限满1年及以上的供应商，提供经审计的上一年度的年度财务报告。</w:t>
      </w:r>
    </w:p>
    <w:p>
      <w:pPr>
        <w:pStyle w:val="16"/>
        <w:spacing w:before="75" w:beforeAutospacing="0" w:after="75" w:afterAutospacing="0"/>
        <w:ind w:firstLine="420"/>
        <w:rPr>
          <w:rFonts w:hint="eastAsia" w:ascii="微软雅黑" w:hAnsi="微软雅黑" w:eastAsia="微软雅黑" w:cs="微软雅黑"/>
          <w:color w:val="auto"/>
          <w:sz w:val="21"/>
          <w:szCs w:val="21"/>
          <w:highlight w:val="none"/>
        </w:rPr>
      </w:pPr>
      <w:r>
        <w:rPr>
          <w:rFonts w:hint="eastAsia"/>
          <w:color w:val="auto"/>
          <w:sz w:val="21"/>
          <w:szCs w:val="21"/>
          <w:highlight w:val="none"/>
        </w:rPr>
        <w:t>2.2成立年限满半年但不足1年的供应商，提供</w:t>
      </w:r>
      <w:r>
        <w:rPr>
          <w:rFonts w:hint="eastAsia"/>
          <w:color w:val="auto"/>
          <w:sz w:val="21"/>
          <w:szCs w:val="21"/>
          <w:highlight w:val="none"/>
          <w:lang w:eastAsia="zh-CN"/>
        </w:rPr>
        <w:t>经审计的</w:t>
      </w:r>
      <w:r>
        <w:rPr>
          <w:rFonts w:hint="eastAsia"/>
          <w:color w:val="auto"/>
          <w:sz w:val="21"/>
          <w:szCs w:val="21"/>
          <w:highlight w:val="none"/>
        </w:rPr>
        <w:t>该半年度中任一季度的季度财务报告或该半年度的半年度财务报告。</w:t>
      </w:r>
    </w:p>
    <w:p>
      <w:pPr>
        <w:pStyle w:val="16"/>
        <w:spacing w:before="75" w:beforeAutospacing="0" w:after="75" w:afterAutospacing="0"/>
        <w:ind w:firstLine="420"/>
        <w:rPr>
          <w:rFonts w:hint="eastAsia" w:ascii="微软雅黑" w:hAnsi="微软雅黑" w:eastAsia="微软雅黑" w:cs="微软雅黑"/>
          <w:color w:val="auto"/>
          <w:sz w:val="21"/>
          <w:szCs w:val="21"/>
          <w:highlight w:val="none"/>
        </w:rPr>
      </w:pPr>
      <w:r>
        <w:rPr>
          <w:rStyle w:val="21"/>
          <w:rFonts w:hint="eastAsia"/>
          <w:color w:val="auto"/>
          <w:sz w:val="21"/>
          <w:szCs w:val="21"/>
          <w:highlight w:val="none"/>
        </w:rPr>
        <w:t>※无法按照本格式注意事项第2.1、2.2条规定提供财务报告复印件的供应商，应按照本格式注意事项的要求选择提供资信证明复印件或投标担保函复印件。</w:t>
      </w:r>
    </w:p>
    <w:p>
      <w:pPr>
        <w:pStyle w:val="16"/>
        <w:spacing w:before="75" w:beforeAutospacing="0" w:after="75" w:afterAutospacing="0"/>
        <w:ind w:firstLine="420"/>
        <w:rPr>
          <w:rFonts w:hint="eastAsia" w:ascii="微软雅黑" w:hAnsi="微软雅黑" w:eastAsia="微软雅黑" w:cs="微软雅黑"/>
          <w:color w:val="auto"/>
          <w:sz w:val="21"/>
          <w:szCs w:val="21"/>
          <w:highlight w:val="none"/>
        </w:rPr>
      </w:pPr>
      <w:r>
        <w:rPr>
          <w:rFonts w:hint="eastAsia"/>
          <w:color w:val="auto"/>
          <w:sz w:val="21"/>
          <w:szCs w:val="21"/>
          <w:highlight w:val="none"/>
        </w:rPr>
        <w:t>3、“财政部门认可的政府采购专业担保机构”应符合《财政部关于开展政府采购信用担保试点工作方案》（财库[2012]124号）的规定。</w:t>
      </w:r>
    </w:p>
    <w:p>
      <w:pPr>
        <w:pStyle w:val="16"/>
        <w:spacing w:before="75" w:beforeAutospacing="0" w:after="75" w:afterAutospacing="0"/>
        <w:ind w:firstLine="420"/>
        <w:rPr>
          <w:rFonts w:hint="eastAsia" w:ascii="微软雅黑" w:hAnsi="微软雅黑" w:eastAsia="微软雅黑" w:cs="微软雅黑"/>
          <w:color w:val="auto"/>
          <w:sz w:val="21"/>
          <w:szCs w:val="21"/>
          <w:highlight w:val="none"/>
        </w:rPr>
      </w:pPr>
      <w:r>
        <w:rPr>
          <w:rFonts w:hint="eastAsia"/>
          <w:color w:val="auto"/>
          <w:sz w:val="21"/>
          <w:szCs w:val="21"/>
          <w:highlight w:val="none"/>
        </w:rPr>
        <w:t>4、供应商提供的相应证明材料复印件均应符合：内容完整、清晰、整洁，并由供应商加盖其单位公章。</w:t>
      </w:r>
    </w:p>
    <w:p>
      <w:pPr>
        <w:pStyle w:val="16"/>
        <w:spacing w:before="75" w:beforeAutospacing="0" w:after="75" w:afterAutospacing="0" w:line="315" w:lineRule="atLeast"/>
        <w:ind w:firstLine="420"/>
        <w:rPr>
          <w:rFonts w:hint="eastAsia"/>
          <w:color w:val="auto"/>
          <w:sz w:val="21"/>
          <w:szCs w:val="21"/>
          <w:highlight w:val="none"/>
        </w:rPr>
      </w:pPr>
      <w:r>
        <w:rPr>
          <w:rFonts w:hint="eastAsia"/>
          <w:color w:val="auto"/>
          <w:sz w:val="21"/>
          <w:szCs w:val="21"/>
          <w:highlight w:val="none"/>
        </w:rPr>
        <w:t>5、对于接受联合体形式的谈判且供应商是联合体的，则联合体各成员都应当提交本资格证明文件。</w:t>
      </w:r>
    </w:p>
    <w:p>
      <w:pPr>
        <w:pStyle w:val="16"/>
        <w:spacing w:before="75" w:beforeAutospacing="0" w:after="75" w:afterAutospacing="0" w:line="315" w:lineRule="atLeast"/>
        <w:ind w:firstLine="420"/>
        <w:rPr>
          <w:rFonts w:hint="eastAsia"/>
          <w:color w:val="auto"/>
          <w:sz w:val="21"/>
          <w:szCs w:val="21"/>
          <w:highlight w:val="none"/>
        </w:rPr>
      </w:pPr>
    </w:p>
    <w:p>
      <w:pPr>
        <w:pStyle w:val="16"/>
        <w:spacing w:before="75" w:beforeAutospacing="0" w:after="75" w:afterAutospacing="0" w:line="315" w:lineRule="atLeast"/>
        <w:ind w:firstLine="420"/>
        <w:rPr>
          <w:rFonts w:hint="eastAsia"/>
          <w:color w:val="auto"/>
          <w:sz w:val="21"/>
          <w:szCs w:val="21"/>
          <w:highlight w:val="none"/>
        </w:rPr>
      </w:pPr>
      <w:r>
        <w:rPr>
          <w:rFonts w:hint="eastAsia"/>
          <w:color w:val="auto"/>
          <w:sz w:val="21"/>
          <w:szCs w:val="21"/>
          <w:highlight w:val="none"/>
        </w:rPr>
        <w:t>供应商代表：    （签字）</w:t>
      </w:r>
    </w:p>
    <w:p>
      <w:pPr>
        <w:pStyle w:val="16"/>
        <w:spacing w:before="75" w:beforeAutospacing="0" w:after="75" w:afterAutospacing="0" w:line="315" w:lineRule="atLeast"/>
        <w:ind w:firstLine="420"/>
        <w:rPr>
          <w:rFonts w:hint="eastAsia"/>
          <w:color w:val="auto"/>
          <w:sz w:val="21"/>
          <w:szCs w:val="21"/>
          <w:highlight w:val="none"/>
        </w:rPr>
      </w:pPr>
      <w:r>
        <w:rPr>
          <w:rFonts w:hint="eastAsia"/>
          <w:color w:val="auto"/>
          <w:sz w:val="21"/>
          <w:szCs w:val="21"/>
          <w:highlight w:val="none"/>
        </w:rPr>
        <w:t>供应商名称：    （全称并加盖公章）</w:t>
      </w:r>
    </w:p>
    <w:p>
      <w:pPr>
        <w:pStyle w:val="16"/>
        <w:spacing w:before="75" w:beforeAutospacing="0" w:after="75" w:afterAutospacing="0" w:line="315" w:lineRule="atLeast"/>
        <w:ind w:firstLine="420"/>
        <w:rPr>
          <w:rFonts w:hint="eastAsia"/>
          <w:color w:val="auto"/>
          <w:sz w:val="21"/>
          <w:szCs w:val="21"/>
          <w:highlight w:val="none"/>
        </w:rPr>
      </w:pPr>
      <w:r>
        <w:rPr>
          <w:rFonts w:hint="eastAsia"/>
          <w:color w:val="auto"/>
          <w:sz w:val="21"/>
          <w:szCs w:val="21"/>
          <w:highlight w:val="none"/>
        </w:rPr>
        <w:t>日期：    年    月    日</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b/>
          <w:color w:val="auto"/>
          <w:kern w:val="0"/>
          <w:szCs w:val="21"/>
          <w:highlight w:val="none"/>
        </w:rPr>
        <w:t xml:space="preserve">附件3-6    </w:t>
      </w:r>
      <w:r>
        <w:rPr>
          <w:rFonts w:hint="eastAsia" w:ascii="宋体" w:hAnsi="宋体" w:cs="宋体"/>
          <w:b/>
          <w:bCs/>
          <w:color w:val="auto"/>
          <w:kern w:val="0"/>
          <w:szCs w:val="21"/>
          <w:highlight w:val="none"/>
        </w:rPr>
        <w:t>依法缴纳税收证明材料</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致：宁德市有信产权交易服务有限公司</w:t>
      </w:r>
    </w:p>
    <w:p>
      <w:pPr>
        <w:widowControl/>
        <w:ind w:firstLine="420"/>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1、依法缴纳税收的供应商</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（）法人（包括企业、事业单位和社会团体）的</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现附上自    年    月    日至    年    月    日期间我方缴纳的（按照供应商实际缴纳的税种名称填写，如：增值税、所得税等）税收凭据复印件，上述证明材料真实有效，否则我方负全部责任。</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（）非法人（包括其他组织、自然人）的</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现附上自    年    月    日至    年    月    日期间我方缴纳的（按照供应商实际缴纳的税种名称填写）税收凭据复印件，上述证明材料真实有效，否则我方负全部责任。</w:t>
      </w:r>
    </w:p>
    <w:p>
      <w:pPr>
        <w:widowControl/>
        <w:ind w:firstLine="420"/>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2、依法免税的供应商</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（）现附上我方依法免税证明材料复印件，上述证明材料真实有效，否则我方负全部责任。</w:t>
      </w: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注意：</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1、请供应商根据实际情况填写，在相应的（）中打“√”，并按照本格式的要求提供相应证明材料的复印件。</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2、供应商提供的税收凭据复印件应符合下列规定：</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2.1首次响应文件递交截止时间前（不含截止时间的当月）已依法缴纳税收的供应商，提供首次响应文件递交截止时间前六个月（不含截止时间的当月）中任一月份的税收凭据复印件。</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2.2首次响应文件递交截止时间的当月成立且已依法缴纳税收的供应商，提供截止时间当月的税收凭据复印件。</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2.3首次响应文件递交截止时间的当月成立但因税务机关原因而尚未依法缴纳税收的供应商，提供依法缴纳税收承诺书原件（格式自拟），该承诺书视同税收凭据。</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3、供应商提供的相应证明材料复印件均应符合：内容完整、清晰、整洁，并由供应商加盖其单位公章。</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w:t>
      </w:r>
      <w:r>
        <w:rPr>
          <w:rFonts w:hint="eastAsia" w:ascii="宋体" w:hAnsi="宋体" w:cs="宋体"/>
          <w:b/>
          <w:bCs/>
          <w:color w:val="auto"/>
          <w:kern w:val="0"/>
          <w:szCs w:val="21"/>
          <w:highlight w:val="none"/>
        </w:rPr>
        <w:t>“依法缴纳税收证明材料”</w:t>
      </w:r>
      <w:r>
        <w:rPr>
          <w:rFonts w:hint="eastAsia" w:ascii="宋体" w:hAnsi="宋体" w:cs="宋体"/>
          <w:color w:val="auto"/>
          <w:kern w:val="0"/>
          <w:szCs w:val="21"/>
          <w:highlight w:val="none"/>
        </w:rPr>
        <w:t>有欠缴记录的，视为</w:t>
      </w:r>
      <w:r>
        <w:rPr>
          <w:rFonts w:hint="eastAsia" w:ascii="宋体" w:hAnsi="宋体" w:cs="宋体"/>
          <w:b/>
          <w:bCs/>
          <w:color w:val="auto"/>
          <w:kern w:val="0"/>
          <w:szCs w:val="21"/>
          <w:highlight w:val="none"/>
        </w:rPr>
        <w:t>未依法缴纳税收</w:t>
      </w:r>
      <w:r>
        <w:rPr>
          <w:rFonts w:hint="eastAsia" w:ascii="宋体" w:hAnsi="宋体" w:cs="宋体"/>
          <w:color w:val="auto"/>
          <w:kern w:val="0"/>
          <w:szCs w:val="21"/>
          <w:highlight w:val="none"/>
        </w:rPr>
        <w:t>。</w:t>
      </w:r>
    </w:p>
    <w:p>
      <w:pPr>
        <w:widowControl/>
        <w:spacing w:line="31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5、对于接受联合体形式的谈判且供应商是联合体的，则联合体各成员都应当提交本资格证明文件。</w:t>
      </w:r>
    </w:p>
    <w:p>
      <w:pPr>
        <w:widowControl/>
        <w:spacing w:line="315" w:lineRule="atLeast"/>
        <w:jc w:val="left"/>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color w:val="auto"/>
          <w:kern w:val="0"/>
          <w:szCs w:val="21"/>
          <w:highlight w:val="none"/>
          <w:lang w:val="en-US" w:eastAsia="zh-CN"/>
        </w:rPr>
        <w:t>6、根据《福建省财政厅关于运用政府采购政策促进中小企业发展的通知》要求，因疫情影响享受缓缴或免缴社保、税款的企业，无法提供相关社保、税收缴纳证明材料的，提供有关情况说明视同社保、税收缴纳证明材料提交完整。</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（全称并加盖公章）</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center"/>
        <w:rPr>
          <w:rFonts w:hint="eastAsia" w:ascii="宋体" w:hAnsi="宋体" w:cs="宋体"/>
          <w:b/>
          <w:color w:val="auto"/>
          <w:kern w:val="0"/>
          <w:szCs w:val="21"/>
          <w:highlight w:val="none"/>
        </w:rPr>
      </w:pPr>
      <w:r>
        <w:rPr>
          <w:rFonts w:hint="eastAsia" w:ascii="宋体" w:hAnsi="宋体" w:cs="宋体"/>
          <w:b/>
          <w:color w:val="auto"/>
          <w:kern w:val="0"/>
          <w:szCs w:val="21"/>
          <w:highlight w:val="none"/>
        </w:rPr>
        <w:br w:type="page"/>
      </w:r>
      <w:r>
        <w:rPr>
          <w:rFonts w:hint="eastAsia" w:ascii="宋体" w:hAnsi="宋体" w:cs="宋体"/>
          <w:b/>
          <w:color w:val="auto"/>
          <w:kern w:val="0"/>
          <w:szCs w:val="21"/>
          <w:highlight w:val="none"/>
        </w:rPr>
        <w:t xml:space="preserve">附件3-7    </w:t>
      </w:r>
      <w:r>
        <w:rPr>
          <w:rFonts w:hint="eastAsia" w:ascii="宋体" w:hAnsi="宋体" w:cs="宋体"/>
          <w:b/>
          <w:bCs/>
          <w:color w:val="auto"/>
          <w:kern w:val="0"/>
          <w:szCs w:val="21"/>
          <w:highlight w:val="none"/>
        </w:rPr>
        <w:t>依法缴纳社会保障资金证明材料</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致：宁德市有信产权交易服务有限公司</w:t>
      </w:r>
    </w:p>
    <w:p>
      <w:pPr>
        <w:widowControl/>
        <w:ind w:firstLine="480"/>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1、依法缴纳社会保障资金的供应商</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（）法人（包括企业、事业单位和社会团体）的</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现附上自    年    月    日至    年    月    日我方缴纳的社会保险凭据（限：税务机关/社会保障资金管理机关的专用收据或社会保险缴纳清单，或社会保险的银行缴款收讫凭证）复印件，上述证明材料真实有效，否则我方负全部责任。</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（）非法人（包括其他组织、自然人）的</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自    年    月    日至    年    月    日我方缴纳的社会保险凭据（限：税务机关/社会保障资金管理机关的专用收据或社会保险缴纳清单，或社会保险的银行缴款收讫凭证）复印件，上述证明材料真实有效，否则我方负全部责任。</w:t>
      </w:r>
    </w:p>
    <w:p>
      <w:pPr>
        <w:widowControl/>
        <w:ind w:firstLine="480"/>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2、依法不需要缴纳社会保障资金的供应商</w:t>
      </w:r>
    </w:p>
    <w:p>
      <w:pPr>
        <w:widowControl/>
        <w:ind w:firstLine="42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（）现附上我方依法不需要缴纳社会保障资金证明材料复印件，上述证明材料真实有效，否则我方负全部责任。</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注意：</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1、请供应商根据实际情况填写，在相应的（）中打“√”，并按照本格式的要求提供相应证明材料的复印件。</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2、供应商提供的社会保险凭据复印件应符合下列规定：</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2.1首次响应文件递交截止时间前（不含截止时间的当月）已依法缴纳社会保障资金的投供应商，提供首次响应文件递交截止时间前六个月（不含截止时间的当月）中任一月份的社会保险凭据复印件。</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2.2首次响应文件递交截止时间的当月成立且已依法缴纳社会保障资金的供应商，提供首次响应文件递交截止时间当月的社会保险凭据复印件。</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2.3首次响应文件递交截止时间的当月成立但因税务机关/社会保障资金管理机关原因而尚未依法缴纳社会保障资金的供应商，提供依法缴纳社会保障资金承诺书原件（格式自拟），该承诺书视同社会保险凭据。</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3、供应商提供的相应证明材料复印件均应符合：内容完整、清晰、整洁，并由供应商加盖其单位公章。</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w:t>
      </w:r>
      <w:r>
        <w:rPr>
          <w:rFonts w:hint="eastAsia" w:ascii="宋体" w:hAnsi="宋体" w:cs="宋体"/>
          <w:b/>
          <w:bCs/>
          <w:color w:val="auto"/>
          <w:kern w:val="0"/>
          <w:szCs w:val="21"/>
          <w:highlight w:val="none"/>
        </w:rPr>
        <w:t>“依法缴纳社会保障资金证明材料”</w:t>
      </w:r>
      <w:r>
        <w:rPr>
          <w:rFonts w:hint="eastAsia" w:ascii="宋体" w:hAnsi="宋体" w:cs="宋体"/>
          <w:color w:val="auto"/>
          <w:kern w:val="0"/>
          <w:szCs w:val="21"/>
          <w:highlight w:val="none"/>
        </w:rPr>
        <w:t>有欠缴记录的，视为</w:t>
      </w:r>
      <w:r>
        <w:rPr>
          <w:rFonts w:hint="eastAsia" w:ascii="宋体" w:hAnsi="宋体" w:cs="宋体"/>
          <w:b/>
          <w:bCs/>
          <w:color w:val="auto"/>
          <w:kern w:val="0"/>
          <w:szCs w:val="21"/>
          <w:highlight w:val="none"/>
        </w:rPr>
        <w:t>未依法缴纳社会保障资金</w:t>
      </w:r>
      <w:r>
        <w:rPr>
          <w:rFonts w:hint="eastAsia" w:ascii="宋体" w:hAnsi="宋体" w:cs="宋体"/>
          <w:color w:val="auto"/>
          <w:kern w:val="0"/>
          <w:szCs w:val="21"/>
          <w:highlight w:val="none"/>
        </w:rPr>
        <w:t>。</w:t>
      </w:r>
    </w:p>
    <w:p>
      <w:pPr>
        <w:widowControl/>
        <w:spacing w:line="28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5、对于接受联合体形式的谈判且供应商是联合体的，则联合体各成员都应当提交本资格证明文件。</w:t>
      </w:r>
    </w:p>
    <w:p>
      <w:pPr>
        <w:widowControl/>
        <w:spacing w:line="315" w:lineRule="atLeast"/>
        <w:jc w:val="left"/>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color w:val="auto"/>
          <w:kern w:val="0"/>
          <w:szCs w:val="21"/>
          <w:highlight w:val="none"/>
          <w:lang w:val="en-US" w:eastAsia="zh-CN"/>
        </w:rPr>
        <w:t>6、根据《福建省财政厅关于运用政府采购政策促进中小企业发展的通知》要求，因疫情影响享受缓缴或免缴社保、税款的企业，无法提供相关社保、税收缴纳证明材料的，提供有关情况说明视同社保、税收缴纳证明材料提交完整。</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（全称并加盖公章）</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br w:type="textWrapping"/>
      </w:r>
    </w:p>
    <w:p>
      <w:pPr>
        <w:widowControl/>
        <w:spacing w:line="435" w:lineRule="atLeast"/>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b/>
          <w:color w:val="auto"/>
          <w:kern w:val="0"/>
          <w:szCs w:val="21"/>
          <w:highlight w:val="none"/>
        </w:rPr>
        <w:t xml:space="preserve">附件3-8   </w:t>
      </w:r>
      <w:r>
        <w:rPr>
          <w:rFonts w:hint="eastAsia" w:ascii="宋体" w:hAnsi="宋体" w:cs="宋体"/>
          <w:b/>
          <w:bCs/>
          <w:color w:val="auto"/>
          <w:kern w:val="0"/>
          <w:szCs w:val="21"/>
          <w:highlight w:val="none"/>
        </w:rPr>
        <w:t>具备履行合同所必需设备和专业技术能力证明材料</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声明函</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致：宁德市有信产权交易服务有限公司</w:t>
      </w:r>
    </w:p>
    <w:p>
      <w:pPr>
        <w:widowControl/>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我方具备履行合同所必需的设备和专业技术能力，并对本声明承诺的真实性负责，否则产生不利后果由我方承担责任。</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特此声明。</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注意：</w:t>
      </w:r>
    </w:p>
    <w:p>
      <w:pPr>
        <w:widowControl/>
        <w:spacing w:line="435" w:lineRule="atLeast"/>
        <w:ind w:firstLine="480"/>
        <w:jc w:val="left"/>
        <w:rPr>
          <w:rFonts w:hint="eastAsia" w:ascii="宋体" w:hAnsi="宋体" w:cs="宋体"/>
          <w:b/>
          <w:bCs/>
          <w:color w:val="auto"/>
          <w:kern w:val="0"/>
          <w:szCs w:val="21"/>
          <w:highlight w:val="none"/>
        </w:rPr>
      </w:pPr>
      <w:r>
        <w:rPr>
          <w:rFonts w:hint="eastAsia" w:ascii="宋体" w:hAnsi="宋体" w:cs="宋体"/>
          <w:color w:val="auto"/>
          <w:kern w:val="0"/>
          <w:szCs w:val="21"/>
          <w:highlight w:val="none"/>
        </w:rPr>
        <w:t>1</w:t>
      </w:r>
      <w:r>
        <w:rPr>
          <w:rFonts w:hint="eastAsia" w:ascii="宋体" w:hAnsi="宋体" w:cs="宋体"/>
          <w:color w:val="auto"/>
          <w:kern w:val="0"/>
          <w:szCs w:val="21"/>
          <w:highlight w:val="none"/>
          <w:lang w:val="en-US" w:eastAsia="zh-CN"/>
        </w:rPr>
        <w:t>.</w:t>
      </w:r>
      <w:r>
        <w:rPr>
          <w:rFonts w:hint="eastAsia" w:ascii="宋体" w:hAnsi="宋体" w:cs="宋体"/>
          <w:b/>
          <w:bCs/>
          <w:color w:val="auto"/>
          <w:kern w:val="0"/>
          <w:szCs w:val="21"/>
          <w:highlight w:val="none"/>
        </w:rPr>
        <w:t>谈判文件“供应商的资格”中特定资格条件如果没有特别规定，则由供应商在响应文件中按上述格式提供其具备履行合同所必需的设备和专业技术能力的声明并按要求附上证明材料即可，声明函应加盖供应商单位公章。</w:t>
      </w:r>
    </w:p>
    <w:p>
      <w:pPr>
        <w:widowControl/>
        <w:spacing w:line="435" w:lineRule="atLeast"/>
        <w:ind w:firstLine="0" w:firstLineChars="0"/>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w:t>
      </w:r>
      <w:r>
        <w:rPr>
          <w:rFonts w:hint="eastAsia" w:ascii="宋体" w:hAnsi="宋体" w:cs="宋体"/>
          <w:b/>
          <w:bCs/>
          <w:color w:val="auto"/>
          <w:kern w:val="0"/>
          <w:szCs w:val="21"/>
          <w:highlight w:val="none"/>
        </w:rPr>
        <w:t>如果根据项目的特点和需要，对履行合同所必需的设备和专业技术能力的证明材料有特别专项要求的，则采购人或采购代理机构应当在谈判文件“供应商的资格”中特定资格条件进行明确约定，供应商可以不用提供上述格式要求的声明函，但必须按特定资格条件的规定提供相应专项证明材料，并对相应证明材料的真实性负责。</w:t>
      </w:r>
    </w:p>
    <w:p>
      <w:pPr>
        <w:widowControl/>
        <w:spacing w:line="435" w:lineRule="atLeast"/>
        <w:ind w:firstLine="422" w:firstLineChars="200"/>
        <w:rPr>
          <w:rFonts w:hint="eastAsia" w:ascii="宋体" w:hAnsi="宋体" w:cs="宋体"/>
          <w:color w:val="auto"/>
          <w:kern w:val="0"/>
          <w:szCs w:val="21"/>
          <w:highlight w:val="none"/>
        </w:rPr>
      </w:pPr>
      <w:r>
        <w:rPr>
          <w:rFonts w:hint="eastAsia" w:ascii="宋体" w:hAnsi="宋体" w:cs="宋体"/>
          <w:b/>
          <w:bCs/>
          <w:color w:val="auto"/>
          <w:kern w:val="0"/>
          <w:szCs w:val="21"/>
          <w:highlight w:val="none"/>
        </w:rPr>
        <w:t>3对于接受联合体形式的谈判且供应商是联合体的，则联合体各成员都应当提交本资格证明文件。</w:t>
      </w:r>
    </w:p>
    <w:p>
      <w:pPr>
        <w:widowControl/>
        <w:spacing w:line="435" w:lineRule="atLeast"/>
        <w:jc w:val="left"/>
        <w:rPr>
          <w:rFonts w:hint="eastAsia" w:ascii="宋体" w:hAnsi="宋体" w:cs="宋体"/>
          <w:color w:val="auto"/>
          <w:kern w:val="0"/>
          <w:szCs w:val="21"/>
          <w:highlight w:val="none"/>
        </w:rPr>
      </w:pPr>
    </w:p>
    <w:p>
      <w:pPr>
        <w:widowControl/>
        <w:spacing w:line="435" w:lineRule="atLeast"/>
        <w:ind w:firstLine="480"/>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（全称并加盖公章）</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spacing w:line="435" w:lineRule="atLeast"/>
        <w:ind w:firstLine="480"/>
        <w:jc w:val="left"/>
        <w:rPr>
          <w:rFonts w:hint="eastAsia" w:ascii="宋体" w:hAnsi="宋体" w:cs="宋体"/>
          <w:color w:val="auto"/>
          <w:kern w:val="0"/>
          <w:szCs w:val="21"/>
          <w:highlight w:val="none"/>
        </w:rPr>
      </w:pPr>
    </w:p>
    <w:p>
      <w:pPr>
        <w:widowControl/>
        <w:spacing w:line="435" w:lineRule="atLeast"/>
        <w:jc w:val="center"/>
        <w:rPr>
          <w:rFonts w:hint="eastAsia" w:ascii="宋体" w:hAnsi="宋体" w:cs="宋体"/>
          <w:color w:val="auto"/>
          <w:kern w:val="0"/>
          <w:szCs w:val="21"/>
          <w:highlight w:val="none"/>
        </w:rPr>
      </w:pPr>
      <w:r>
        <w:rPr>
          <w:rFonts w:hint="eastAsia" w:ascii="宋体" w:hAnsi="宋体" w:cs="宋体"/>
          <w:b/>
          <w:color w:val="auto"/>
          <w:kern w:val="0"/>
          <w:szCs w:val="21"/>
          <w:highlight w:val="none"/>
        </w:rPr>
        <w:t xml:space="preserve">附件3-9    </w:t>
      </w:r>
      <w:r>
        <w:rPr>
          <w:rFonts w:hint="eastAsia" w:ascii="宋体" w:hAnsi="宋体" w:cs="宋体"/>
          <w:b/>
          <w:bCs/>
          <w:color w:val="auto"/>
          <w:kern w:val="0"/>
          <w:szCs w:val="21"/>
          <w:highlight w:val="none"/>
        </w:rPr>
        <w:t>参加采购活动前三年内在经营活动中没有重大违法记录书面声明</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致：宁德市有信产权交易服务有限公司</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参加采购活动前三年内，我方在经营活动中没有重大违法记录，也无行贿犯罪记录。</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特此声明。</w:t>
      </w:r>
    </w:p>
    <w:p>
      <w:pPr>
        <w:widowControl/>
        <w:spacing w:line="435" w:lineRule="atLeast"/>
        <w:ind w:firstLine="480"/>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※注意：</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1、“重大违法记录”指</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2、请供应商根据实际情况如实声明，否则视为提供虚假材料。</w:t>
      </w:r>
      <w:r>
        <w:rPr>
          <w:rFonts w:hint="eastAsia" w:ascii="宋体" w:hAnsi="宋体" w:cs="宋体"/>
          <w:color w:val="auto"/>
          <w:kern w:val="0"/>
          <w:szCs w:val="21"/>
          <w:highlight w:val="none"/>
          <w:lang w:eastAsia="zh-CN"/>
        </w:rPr>
        <w:t>谈判</w:t>
      </w:r>
      <w:r>
        <w:rPr>
          <w:rFonts w:hint="eastAsia" w:ascii="宋体" w:hAnsi="宋体" w:cs="宋体"/>
          <w:color w:val="auto"/>
          <w:kern w:val="0"/>
          <w:szCs w:val="21"/>
          <w:highlight w:val="none"/>
        </w:rPr>
        <w:t>小组有权通过国家企业信用信息公式系统及其他政府门户网站进行核实。 </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3、对于接受联合体形式的谈判且供应商是联合体的，则联合体各成员都应当提交本资格证明文件。</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（全称并加盖公章）</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br w:type="textWrapping"/>
      </w:r>
    </w:p>
    <w:p>
      <w:pPr>
        <w:widowControl/>
        <w:spacing w:line="435" w:lineRule="atLeast"/>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b/>
          <w:color w:val="auto"/>
          <w:kern w:val="0"/>
          <w:szCs w:val="21"/>
          <w:highlight w:val="none"/>
        </w:rPr>
        <w:t xml:space="preserve">附件3-10    </w:t>
      </w:r>
      <w:r>
        <w:rPr>
          <w:rFonts w:hint="eastAsia" w:ascii="宋体" w:hAnsi="宋体" w:cs="宋体"/>
          <w:b/>
          <w:bCs/>
          <w:color w:val="auto"/>
          <w:kern w:val="0"/>
          <w:szCs w:val="21"/>
          <w:highlight w:val="none"/>
        </w:rPr>
        <w:t>信用记录查询结果</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致：宁德市有信产权交易服务有限公司</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现附上截至    年    月    日    时我方通过“信用中国”网站（www creditchina gov cn）获取的我方信用信息查询结果（填写具体份数）份、通过中国政府采购网（www ccgp gov cn）获取的我方信用信息查询结果（填写具体份数）份，上述信用信息查询结果真实有效，否则我方负全部责任。</w:t>
      </w:r>
    </w:p>
    <w:p>
      <w:pPr>
        <w:widowControl/>
        <w:spacing w:line="435" w:lineRule="atLeast"/>
        <w:jc w:val="left"/>
        <w:rPr>
          <w:rFonts w:hint="eastAsia" w:ascii="宋体" w:hAnsi="宋体" w:cs="宋体"/>
          <w:color w:val="auto"/>
          <w:kern w:val="0"/>
          <w:szCs w:val="21"/>
          <w:highlight w:val="none"/>
        </w:rPr>
      </w:pPr>
    </w:p>
    <w:p>
      <w:pPr>
        <w:ind w:firstLine="424" w:firstLineChars="202"/>
        <w:rPr>
          <w:rFonts w:hint="eastAsia" w:ascii="宋体" w:hAnsi="宋体" w:eastAsia="宋体" w:cs="宋体"/>
          <w:color w:val="auto"/>
          <w:highlight w:val="none"/>
        </w:rPr>
      </w:pPr>
      <w:r>
        <w:rPr>
          <w:rFonts w:hint="eastAsia" w:ascii="宋体" w:hAnsi="宋体" w:eastAsia="宋体" w:cs="宋体"/>
          <w:color w:val="auto"/>
          <w:highlight w:val="none"/>
        </w:rPr>
        <w:t>※注意：</w:t>
      </w:r>
    </w:p>
    <w:p>
      <w:pPr>
        <w:ind w:firstLine="424" w:firstLineChars="202"/>
        <w:rPr>
          <w:rFonts w:hint="eastAsia" w:ascii="宋体" w:hAnsi="宋体" w:eastAsia="宋体" w:cs="宋体"/>
          <w:color w:val="auto"/>
          <w:highlight w:val="none"/>
        </w:rPr>
      </w:pPr>
      <w:r>
        <w:rPr>
          <w:rFonts w:hint="eastAsia" w:ascii="宋体" w:hAnsi="宋体" w:eastAsia="宋体" w:cs="宋体"/>
          <w:color w:val="auto"/>
          <w:highlight w:val="none"/>
        </w:rPr>
        <w:t>1、供应商在询价通知书要求的截止时点前分别通过“信用中国”网站（www.creditchina.gov.cn）、中国政府采购网（www.ccgp.gov.cn）查询并打印相应的信用记录，供应商提供的查询结果应为其通过上述网站获取的信用信息查询结果原始页面的打印件（或截图）。</w:t>
      </w:r>
    </w:p>
    <w:p>
      <w:pPr>
        <w:ind w:firstLine="424" w:firstLineChars="202"/>
        <w:rPr>
          <w:rFonts w:hint="eastAsia" w:ascii="宋体" w:hAnsi="宋体" w:eastAsia="宋体" w:cs="宋体"/>
          <w:color w:val="auto"/>
          <w:highlight w:val="none"/>
        </w:rPr>
      </w:pPr>
      <w:r>
        <w:rPr>
          <w:rFonts w:hint="eastAsia" w:ascii="宋体" w:hAnsi="宋体" w:eastAsia="宋体" w:cs="宋体"/>
          <w:color w:val="auto"/>
          <w:highlight w:val="none"/>
        </w:rPr>
        <w:t>2、供应商提供的查询结果与资格审查小组的查询结果不一致的或者供应商未提供的，以资格审查小组的查询结果为准。</w:t>
      </w:r>
    </w:p>
    <w:p>
      <w:pPr>
        <w:ind w:firstLine="424" w:firstLineChars="202"/>
        <w:rPr>
          <w:rFonts w:hint="eastAsia" w:ascii="宋体" w:hAnsi="宋体" w:eastAsia="宋体" w:cs="宋体"/>
          <w:color w:val="auto"/>
          <w:highlight w:val="none"/>
        </w:rPr>
      </w:pPr>
      <w:r>
        <w:rPr>
          <w:rFonts w:hint="eastAsia" w:ascii="宋体" w:hAnsi="宋体" w:eastAsia="宋体" w:cs="宋体"/>
          <w:color w:val="auto"/>
          <w:highlight w:val="none"/>
        </w:rPr>
        <w:t>3、经查询，供应商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widowControl/>
        <w:spacing w:line="435" w:lineRule="atLeast"/>
        <w:jc w:val="left"/>
        <w:rPr>
          <w:rFonts w:hint="eastAsia" w:ascii="宋体" w:hAnsi="宋体" w:eastAsia="宋体" w:cs="宋体"/>
          <w:color w:val="auto"/>
          <w:highlight w:val="none"/>
        </w:rPr>
      </w:pPr>
      <w:r>
        <w:rPr>
          <w:rFonts w:hint="eastAsia" w:ascii="宋体" w:hAnsi="宋体" w:eastAsia="宋体" w:cs="宋体"/>
          <w:color w:val="auto"/>
          <w:highlight w:val="none"/>
        </w:rPr>
        <w:t>供应商应了解供应商自身的信用记录情况。当供应商受到200万以上罚款的行政处罚且该罚款不属较大数额罚款时，供应商应在</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中提供此项罚款不属于较大数额罚款的依据（如提供：相关法律制度的规定、行政执法机构对该罚款不属于较大数额罚款的认定或者其他有效依据）。</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※除上述规定外，信用记录的其他有关规定（包括但不限于：信用信息的查询渠道及截止时点、查询记录和证据留存的具体方式、使用规则等内容）详见谈判文件第一章。</w:t>
      </w:r>
      <w:r>
        <w:rPr>
          <w:rFonts w:hint="eastAsia" w:ascii="宋体" w:hAnsi="宋体" w:cs="宋体"/>
          <w:color w:val="auto"/>
          <w:kern w:val="0"/>
          <w:szCs w:val="21"/>
          <w:highlight w:val="none"/>
        </w:rPr>
        <w:t> </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（全称并加盖公章）</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b/>
          <w:bCs/>
          <w:color w:val="auto"/>
          <w:kern w:val="0"/>
          <w:szCs w:val="21"/>
          <w:highlight w:val="none"/>
        </w:rPr>
      </w:pPr>
    </w:p>
    <w:p>
      <w:pPr>
        <w:widowControl/>
        <w:spacing w:line="435" w:lineRule="atLeast"/>
        <w:jc w:val="left"/>
        <w:rPr>
          <w:rFonts w:hint="eastAsia" w:ascii="宋体" w:hAnsi="宋体" w:cs="宋体"/>
          <w:b/>
          <w:bCs/>
          <w:color w:val="auto"/>
          <w:kern w:val="0"/>
          <w:szCs w:val="21"/>
          <w:highlight w:val="none"/>
        </w:rPr>
      </w:pPr>
    </w:p>
    <w:p>
      <w:pPr>
        <w:widowControl/>
        <w:spacing w:line="435" w:lineRule="atLeast"/>
        <w:jc w:val="left"/>
        <w:rPr>
          <w:rFonts w:hint="eastAsia" w:ascii="宋体" w:hAnsi="宋体" w:cs="宋体"/>
          <w:b/>
          <w:bCs/>
          <w:color w:val="auto"/>
          <w:kern w:val="0"/>
          <w:szCs w:val="21"/>
          <w:highlight w:val="none"/>
        </w:rPr>
      </w:pPr>
    </w:p>
    <w:p>
      <w:pPr>
        <w:widowControl/>
        <w:spacing w:line="435" w:lineRule="atLeast"/>
        <w:jc w:val="left"/>
        <w:rPr>
          <w:rFonts w:hint="eastAsia" w:ascii="宋体" w:hAnsi="宋体" w:cs="宋体"/>
          <w:b/>
          <w:bCs/>
          <w:color w:val="auto"/>
          <w:kern w:val="0"/>
          <w:szCs w:val="21"/>
          <w:highlight w:val="none"/>
        </w:rPr>
      </w:pPr>
    </w:p>
    <w:p>
      <w:pPr>
        <w:widowControl/>
        <w:spacing w:line="435" w:lineRule="atLeast"/>
        <w:jc w:val="left"/>
        <w:rPr>
          <w:rFonts w:hint="eastAsia" w:ascii="宋体" w:hAnsi="宋体" w:cs="宋体"/>
          <w:b/>
          <w:bCs/>
          <w:color w:val="auto"/>
          <w:kern w:val="0"/>
          <w:szCs w:val="21"/>
          <w:highlight w:val="none"/>
        </w:rPr>
      </w:pPr>
    </w:p>
    <w:p>
      <w:pPr>
        <w:widowControl/>
        <w:spacing w:line="435" w:lineRule="atLeast"/>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br w:type="textWrapping"/>
      </w:r>
    </w:p>
    <w:p>
      <w:pPr>
        <w:widowControl/>
        <w:spacing w:line="435" w:lineRule="atLeast"/>
        <w:jc w:val="center"/>
        <w:rPr>
          <w:rFonts w:hint="eastAsia" w:ascii="宋体" w:hAnsi="宋体" w:cs="宋体"/>
          <w:b/>
          <w:color w:val="auto"/>
          <w:kern w:val="0"/>
          <w:szCs w:val="21"/>
          <w:highlight w:val="none"/>
        </w:rPr>
      </w:pPr>
      <w:r>
        <w:rPr>
          <w:rFonts w:hint="eastAsia" w:ascii="宋体" w:hAnsi="宋体" w:cs="宋体"/>
          <w:b/>
          <w:bCs/>
          <w:color w:val="auto"/>
          <w:kern w:val="0"/>
          <w:szCs w:val="21"/>
          <w:highlight w:val="none"/>
        </w:rPr>
        <w:br w:type="page"/>
      </w:r>
      <w:r>
        <w:rPr>
          <w:rFonts w:hint="eastAsia" w:ascii="宋体" w:hAnsi="宋体" w:cs="宋体"/>
          <w:b/>
          <w:color w:val="auto"/>
          <w:kern w:val="0"/>
          <w:szCs w:val="21"/>
          <w:highlight w:val="none"/>
        </w:rPr>
        <w:t xml:space="preserve">附件3-11    </w:t>
      </w:r>
      <w:r>
        <w:rPr>
          <w:rFonts w:hint="eastAsia" w:ascii="宋体" w:hAnsi="宋体" w:cs="宋体"/>
          <w:b/>
          <w:bCs/>
          <w:color w:val="auto"/>
          <w:kern w:val="0"/>
          <w:szCs w:val="21"/>
          <w:highlight w:val="none"/>
        </w:rPr>
        <w:t>检察机关行贿犯罪档案查询结果告知函（如果需要）</w:t>
      </w:r>
    </w:p>
    <w:p>
      <w:pPr>
        <w:widowControl/>
        <w:spacing w:line="435" w:lineRule="atLeast"/>
        <w:jc w:val="left"/>
        <w:rPr>
          <w:rFonts w:hint="eastAsia" w:ascii="宋体" w:hAnsi="宋体" w:cs="宋体"/>
          <w:color w:val="auto"/>
          <w:kern w:val="0"/>
          <w:szCs w:val="21"/>
          <w:highlight w:val="none"/>
        </w:rPr>
      </w:pP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1.检察机关行贿犯罪档案查询结果告知函（以下简称：“告知函”）由供应商向住所地或业务发生地检察院申请查询，具体以检察院出具的为准。</w:t>
      </w:r>
    </w:p>
    <w:p>
      <w:pPr>
        <w:widowControl/>
        <w:spacing w:line="435" w:lineRule="atLeas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采购人在谈判文件中约定是否需要提供“告知函”，如果需要提供“告知函”，则在谈判文件“供应商的资格”中特定资格条件中进行约定。如果特定资格条件中未明确约定，视同为本项目不需要提供“告知函”。</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谈判文件有要求提交“告知函”时注意：</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1、供应商未提供行贿犯罪档案查询结果或查询结果有行贿犯罪记录的，</w:t>
      </w:r>
      <w:r>
        <w:rPr>
          <w:rFonts w:hint="eastAsia" w:ascii="宋体" w:hAnsi="宋体" w:cs="宋体"/>
          <w:b/>
          <w:bCs/>
          <w:color w:val="auto"/>
          <w:kern w:val="0"/>
          <w:szCs w:val="21"/>
          <w:highlight w:val="none"/>
        </w:rPr>
        <w:t>则供应商的响应文件将被否决</w:t>
      </w:r>
      <w:r>
        <w:rPr>
          <w:rFonts w:hint="eastAsia" w:ascii="宋体" w:hAnsi="宋体" w:cs="宋体"/>
          <w:color w:val="auto"/>
          <w:kern w:val="0"/>
          <w:szCs w:val="21"/>
          <w:highlight w:val="none"/>
        </w:rPr>
        <w:t>。</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2、告知函应在有效期内，</w:t>
      </w:r>
      <w:r>
        <w:rPr>
          <w:rFonts w:hint="eastAsia" w:ascii="宋体" w:hAnsi="宋体" w:cs="宋体"/>
          <w:b/>
          <w:bCs/>
          <w:color w:val="auto"/>
          <w:kern w:val="0"/>
          <w:szCs w:val="21"/>
          <w:highlight w:val="none"/>
        </w:rPr>
        <w:t>否则其响应文件将被否决</w:t>
      </w:r>
      <w:r>
        <w:rPr>
          <w:rFonts w:hint="eastAsia" w:ascii="宋体" w:hAnsi="宋体" w:cs="宋体"/>
          <w:color w:val="auto"/>
          <w:kern w:val="0"/>
          <w:szCs w:val="21"/>
          <w:highlight w:val="none"/>
        </w:rPr>
        <w:t>。有效期内的告知函复印件，无论内容中是否注明“复印件无效”，均视同有效。</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3、若从检察机关指定网站下载打印或截图告知函，则告知函应为从前述指定网站获取的查询结果原始页面的打印件或完整截图，</w:t>
      </w:r>
      <w:r>
        <w:rPr>
          <w:rFonts w:hint="eastAsia" w:ascii="宋体" w:hAnsi="宋体" w:cs="宋体"/>
          <w:b/>
          <w:bCs/>
          <w:color w:val="auto"/>
          <w:kern w:val="0"/>
          <w:szCs w:val="21"/>
          <w:highlight w:val="none"/>
        </w:rPr>
        <w:t>否则其响应文件将被否决</w:t>
      </w:r>
      <w:r>
        <w:rPr>
          <w:rFonts w:hint="eastAsia" w:ascii="宋体" w:hAnsi="宋体" w:cs="宋体"/>
          <w:color w:val="auto"/>
          <w:kern w:val="0"/>
          <w:szCs w:val="21"/>
          <w:highlight w:val="none"/>
        </w:rPr>
        <w:t>。</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4、若告知函未注明“复印件无效”，供应商可提供原件或复印件。</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5、对于接受联合体形式的谈判且供应商是联合体的，则联合体各成员都应当提交本资格证明文件</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6、无法获取有效期内检察机关行贿犯罪档案查询结果告知函的，应在《参加采购活动前三年内在经营活动中没有重大违法记录书面声明》中对近三年无行贿犯罪记录进行声明。</w:t>
      </w:r>
    </w:p>
    <w:p>
      <w:pPr>
        <w:widowControl/>
        <w:spacing w:line="435" w:lineRule="atLeast"/>
        <w:jc w:val="left"/>
        <w:rPr>
          <w:rFonts w:hint="eastAsia" w:ascii="宋体" w:hAnsi="宋体" w:cs="宋体"/>
          <w:color w:val="auto"/>
          <w:kern w:val="0"/>
          <w:szCs w:val="21"/>
          <w:highlight w:val="none"/>
        </w:rPr>
      </w:pPr>
    </w:p>
    <w:p>
      <w:pPr>
        <w:widowControl/>
        <w:spacing w:line="435" w:lineRule="atLeas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br w:type="textWrapping"/>
      </w:r>
    </w:p>
    <w:p>
      <w:pPr>
        <w:widowControl/>
        <w:spacing w:line="435" w:lineRule="atLeast"/>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b/>
          <w:color w:val="auto"/>
          <w:kern w:val="0"/>
          <w:szCs w:val="21"/>
          <w:highlight w:val="none"/>
        </w:rPr>
        <w:t xml:space="preserve">附件3-12    </w:t>
      </w:r>
      <w:r>
        <w:rPr>
          <w:rFonts w:hint="eastAsia" w:ascii="宋体" w:hAnsi="宋体" w:cs="宋体"/>
          <w:b/>
          <w:bCs/>
          <w:color w:val="auto"/>
          <w:kern w:val="0"/>
          <w:szCs w:val="21"/>
          <w:highlight w:val="none"/>
        </w:rPr>
        <w:t>联合体协议</w:t>
      </w:r>
    </w:p>
    <w:p>
      <w:pPr>
        <w:widowControl/>
        <w:spacing w:line="435" w:lineRule="atLeas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（接受联合体的项目使用）</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致：宁德市有信产权交易服务有限公司</w:t>
      </w:r>
    </w:p>
    <w:p>
      <w:pPr>
        <w:widowControl/>
        <w:spacing w:line="435" w:lineRule="atLeas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兹有（填写“联合体中各方的全称”，各方的全称之间请用“、”分割）自愿组成联合体，共同参加（填写 “项目名称” ） 项目（项目编号：     ）的响应谈判。现就联合体参加本项目响应谈判的有关事宜达成下列协议：</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一、联合体各方应承担的工作和义务具体如下：</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1、联合体牵头方单位名称： </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（填写“工作及义务的具体内容”） ；</w:t>
      </w:r>
    </w:p>
    <w:p>
      <w:pPr>
        <w:widowControl/>
        <w:spacing w:line="435" w:lineRule="atLeast"/>
        <w:ind w:right="480"/>
        <w:rPr>
          <w:rFonts w:hint="eastAsia" w:ascii="宋体" w:hAnsi="宋体" w:cs="宋体"/>
          <w:color w:val="auto"/>
          <w:kern w:val="0"/>
          <w:szCs w:val="21"/>
          <w:highlight w:val="none"/>
        </w:rPr>
      </w:pPr>
      <w:r>
        <w:rPr>
          <w:rFonts w:hint="eastAsia" w:ascii="宋体" w:hAnsi="宋体" w:cs="宋体"/>
          <w:color w:val="auto"/>
          <w:kern w:val="0"/>
          <w:szCs w:val="21"/>
          <w:highlight w:val="none"/>
        </w:rPr>
        <w:t>2、联合体成员方单位名称：</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2.1（成员一的全称）：（填写“工作及义务的具体内容”）；</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二、联合体各方约定由（填写“牵头方的全称”）代表联合体办理参加本项目响应谈判的有关事宜（包括但不限于：派出供应商代表、提交响应文件及参加谈判、澄清等工作），在此过程中，供应商代表签署的一切文件和处理结果，联合体各方均予以认可并对此承担责任。</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三、联合体各方约定由（填写填写“牵头方的全称”）代表联合体办理谈判保证金事宜。</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四、若成交，牵头方将代表联合体与采购人就合同签订事宜进行协商；若协商一致，则联合体各方将共同与采购人签订采购合同，并就采购合同约定的事项对采购人承担连带责任。</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五、本协议自签署之日起生效，采购合同履行完毕后自动失效。</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六、本协议一式（填写具体份数）份，联合体各方各执一份，响应文件中提交一份。</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（以下无正文）</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牵头方：  （全称并加盖单位公章）</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（签字或盖章）</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成员一：  （全称并加盖成员一的单位公章）</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（签字或盖章）</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成员二：  （全称并加盖成员二的单位公章）</w:t>
      </w: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供应商代表：  （签字或盖章） </w:t>
      </w:r>
    </w:p>
    <w:p>
      <w:pPr>
        <w:widowControl/>
        <w:spacing w:line="435" w:lineRule="atLeast"/>
        <w:rPr>
          <w:rFonts w:hint="eastAsia" w:ascii="宋体" w:hAnsi="宋体" w:cs="宋体"/>
          <w:color w:val="auto"/>
          <w:kern w:val="0"/>
          <w:szCs w:val="21"/>
          <w:highlight w:val="none"/>
        </w:rPr>
      </w:pPr>
    </w:p>
    <w:p>
      <w:pPr>
        <w:widowControl/>
        <w:spacing w:line="435" w:lineRule="atLeast"/>
        <w:rPr>
          <w:rFonts w:hint="eastAsia" w:ascii="宋体" w:hAnsi="宋体" w:cs="宋体"/>
          <w:color w:val="auto"/>
          <w:kern w:val="0"/>
          <w:szCs w:val="21"/>
          <w:highlight w:val="none"/>
        </w:rPr>
      </w:pPr>
      <w:r>
        <w:rPr>
          <w:rFonts w:hint="eastAsia" w:ascii="宋体" w:hAnsi="宋体" w:cs="宋体"/>
          <w:color w:val="auto"/>
          <w:kern w:val="0"/>
          <w:szCs w:val="21"/>
          <w:highlight w:val="none"/>
        </w:rPr>
        <w:t>签署日期：    年    月    日</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注意：</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1、若谈判文件规定接受联合体形式且供应商为联合体的，则供应商应提供本协议；否则无须提供。</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2、本协议中的供应商代表如果不是竞争性谈判须知中定义的“单位负责人”，则还必须提供“单位负责人授权书”。</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3、若谈判文件规定接受联合体形式且供应商为联合体的，纸质响应文件正本中的本协议应为原件。</w:t>
      </w:r>
    </w:p>
    <w:p>
      <w:pPr>
        <w:widowControl/>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b/>
          <w:color w:val="auto"/>
          <w:kern w:val="0"/>
          <w:szCs w:val="21"/>
          <w:highlight w:val="none"/>
        </w:rPr>
        <w:t xml:space="preserve">附件3-13    </w:t>
      </w:r>
      <w:r>
        <w:rPr>
          <w:rFonts w:hint="eastAsia" w:ascii="宋体" w:hAnsi="宋体" w:cs="宋体"/>
          <w:b/>
          <w:bCs/>
          <w:color w:val="auto"/>
          <w:kern w:val="0"/>
          <w:szCs w:val="21"/>
          <w:highlight w:val="none"/>
        </w:rPr>
        <w:t>其它资格证明文件</w:t>
      </w:r>
    </w:p>
    <w:p>
      <w:pPr>
        <w:widowControl/>
        <w:spacing w:line="420" w:lineRule="atLeast"/>
        <w:jc w:val="center"/>
        <w:rPr>
          <w:rFonts w:hint="eastAsia" w:ascii="宋体" w:hAnsi="宋体" w:cs="宋体"/>
          <w:color w:val="auto"/>
          <w:kern w:val="0"/>
          <w:szCs w:val="21"/>
          <w:highlight w:val="none"/>
        </w:rPr>
      </w:pPr>
      <w:r>
        <w:rPr>
          <w:rFonts w:hint="eastAsia" w:ascii="宋体" w:hAnsi="宋体" w:cs="宋体"/>
          <w:b/>
          <w:bCs/>
          <w:color w:val="auto"/>
          <w:kern w:val="0"/>
          <w:szCs w:val="21"/>
          <w:highlight w:val="none"/>
        </w:rPr>
        <w:t>（如果有的话）</w:t>
      </w:r>
    </w:p>
    <w:p>
      <w:pPr>
        <w:widowControl/>
        <w:spacing w:line="435" w:lineRule="atLeast"/>
        <w:jc w:val="left"/>
        <w:rPr>
          <w:rFonts w:hint="eastAsia" w:ascii="宋体" w:hAnsi="宋体" w:cs="宋体"/>
          <w:color w:val="auto"/>
          <w:kern w:val="0"/>
          <w:szCs w:val="21"/>
          <w:highlight w:val="none"/>
        </w:rPr>
      </w:pP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说明：1、采购人或采购代理机构可以根据项目的特点和需要，在谈判文件“供应商的资格”中特定资格条件，对其它资格证明文件进行具体规定，供应商应按照谈判文件要求，在此项下提供相关证明材料，并加盖供应商单位公章。</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2、若谈判文件规定接受联合体形式且供应商为联合体的，涉及联合体成员的其它资格证明文件在此处提供相关证明材料，并加盖供应商单位公章。</w:t>
      </w:r>
    </w:p>
    <w:p>
      <w:pPr>
        <w:widowControl/>
        <w:spacing w:line="435" w:lineRule="atLeast"/>
        <w:ind w:firstLine="480"/>
        <w:jc w:val="left"/>
        <w:rPr>
          <w:rFonts w:hint="eastAsia" w:ascii="宋体" w:hAnsi="宋体" w:cs="宋体"/>
          <w:color w:val="auto"/>
          <w:kern w:val="0"/>
          <w:szCs w:val="21"/>
          <w:highlight w:val="none"/>
        </w:rPr>
      </w:pPr>
    </w:p>
    <w:p>
      <w:pPr>
        <w:widowControl/>
        <w:spacing w:line="435" w:lineRule="atLeast"/>
        <w:ind w:firstLine="480"/>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（全称并加盖公章）</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 </w:t>
      </w: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br w:type="textWrapping"/>
      </w:r>
    </w:p>
    <w:p>
      <w:pPr>
        <w:widowControl/>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b/>
          <w:color w:val="auto"/>
          <w:kern w:val="0"/>
          <w:szCs w:val="21"/>
          <w:highlight w:val="none"/>
        </w:rPr>
        <w:t xml:space="preserve">附件4     </w:t>
      </w:r>
      <w:r>
        <w:rPr>
          <w:rFonts w:hint="eastAsia" w:ascii="宋体" w:hAnsi="宋体" w:cs="宋体"/>
          <w:b/>
          <w:bCs/>
          <w:color w:val="auto"/>
          <w:kern w:val="0"/>
          <w:szCs w:val="21"/>
          <w:highlight w:val="none"/>
        </w:rPr>
        <w:t>谈判保证金凭证</w:t>
      </w: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rPr>
          <w:rFonts w:hint="eastAsia" w:ascii="宋体" w:hAnsi="宋体" w:cs="宋体"/>
          <w:color w:val="auto"/>
          <w:kern w:val="0"/>
          <w:szCs w:val="21"/>
          <w:highlight w:val="none"/>
        </w:rPr>
      </w:pPr>
      <w:r>
        <w:rPr>
          <w:rFonts w:hint="eastAsia" w:ascii="宋体" w:hAnsi="宋体" w:cs="宋体"/>
          <w:color w:val="auto"/>
          <w:kern w:val="0"/>
          <w:szCs w:val="21"/>
          <w:highlight w:val="none"/>
        </w:rPr>
        <w:t>编制说明：1、在此项下提交的</w:t>
      </w:r>
      <w:r>
        <w:rPr>
          <w:rFonts w:hint="eastAsia" w:ascii="宋体" w:hAnsi="宋体" w:cs="宋体"/>
          <w:b/>
          <w:bCs/>
          <w:color w:val="auto"/>
          <w:kern w:val="0"/>
          <w:szCs w:val="21"/>
          <w:highlight w:val="none"/>
        </w:rPr>
        <w:t>“谈判保证金”</w:t>
      </w:r>
      <w:r>
        <w:rPr>
          <w:rFonts w:hint="eastAsia" w:ascii="宋体" w:hAnsi="宋体" w:cs="宋体"/>
          <w:color w:val="auto"/>
          <w:kern w:val="0"/>
          <w:szCs w:val="21"/>
          <w:highlight w:val="none"/>
        </w:rPr>
        <w:t>材料可使用转账凭证复印件（若非转账方式，提供对应证明文件）。2、谈判保证金是否已提交按照谈判文件规定执行。</w:t>
      </w:r>
    </w:p>
    <w:p>
      <w:pPr>
        <w:widowControl/>
        <w:jc w:val="left"/>
        <w:rPr>
          <w:rFonts w:hint="eastAsia" w:ascii="宋体" w:hAnsi="宋体" w:cs="宋体"/>
          <w:color w:val="auto"/>
          <w:kern w:val="0"/>
          <w:szCs w:val="21"/>
          <w:highlight w:val="none"/>
        </w:rPr>
      </w:pPr>
    </w:p>
    <w:p>
      <w:pPr>
        <w:rPr>
          <w:rFonts w:hint="eastAsia" w:ascii="Times New Roman" w:hAnsi="Times New Roman"/>
          <w:color w:val="auto"/>
          <w:highlight w:val="none"/>
        </w:rPr>
      </w:pPr>
    </w:p>
    <w:p>
      <w:pPr>
        <w:rPr>
          <w:rFonts w:ascii="Times New Roman" w:hAnsi="Times New Roman"/>
          <w:color w:val="auto"/>
          <w:highlight w:val="none"/>
        </w:rPr>
      </w:pPr>
      <w:r>
        <w:rPr>
          <w:rFonts w:hint="eastAsia" w:ascii="Times New Roman" w:hAnsi="Times New Roman"/>
          <w:color w:val="auto"/>
          <w:highlight w:val="none"/>
        </w:rPr>
        <w:t>致：</w:t>
      </w:r>
      <w:r>
        <w:rPr>
          <w:rFonts w:hint="eastAsia" w:ascii="Times New Roman" w:hAnsi="Times New Roman"/>
          <w:color w:val="auto"/>
          <w:highlight w:val="none"/>
          <w:u w:val="single"/>
        </w:rPr>
        <w:t>宁德市有信产权交易服务有限公司</w:t>
      </w:r>
    </w:p>
    <w:p>
      <w:pPr>
        <w:rPr>
          <w:rFonts w:ascii="Times New Roman" w:hAnsi="Times New Roman"/>
          <w:color w:val="auto"/>
          <w:highlight w:val="none"/>
        </w:rPr>
      </w:pPr>
      <w:r>
        <w:rPr>
          <w:rFonts w:hint="eastAsia" w:ascii="Times New Roman" w:hAnsi="Times New Roman"/>
          <w:color w:val="auto"/>
          <w:highlight w:val="none"/>
        </w:rPr>
        <w:t> </w:t>
      </w:r>
    </w:p>
    <w:p>
      <w:pPr>
        <w:rPr>
          <w:rFonts w:ascii="Times New Roman" w:hAnsi="Times New Roman"/>
          <w:color w:val="auto"/>
          <w:highlight w:val="none"/>
        </w:rPr>
      </w:pPr>
      <w:r>
        <w:rPr>
          <w:rFonts w:hint="eastAsia" w:ascii="Times New Roman" w:hAnsi="Times New Roman"/>
          <w:color w:val="auto"/>
          <w:highlight w:val="none"/>
        </w:rPr>
        <w:t> </w:t>
      </w:r>
    </w:p>
    <w:p>
      <w:pPr>
        <w:ind w:firstLine="420" w:firstLineChars="200"/>
        <w:rPr>
          <w:rFonts w:ascii="Times New Roman" w:hAnsi="Times New Roman"/>
          <w:color w:val="auto"/>
          <w:highlight w:val="none"/>
        </w:rPr>
      </w:pPr>
      <w:r>
        <w:rPr>
          <w:rFonts w:hint="eastAsia" w:ascii="Times New Roman" w:hAnsi="Times New Roman"/>
          <w:color w:val="auto"/>
          <w:highlight w:val="none"/>
        </w:rPr>
        <w:t>我方在贵方组织的</w:t>
      </w:r>
      <w:r>
        <w:rPr>
          <w:rFonts w:hint="eastAsia" w:ascii="Times New Roman" w:hAnsi="Times New Roman"/>
          <w:color w:val="auto"/>
          <w:highlight w:val="none"/>
          <w:u w:val="single"/>
        </w:rPr>
        <w:t>                     </w:t>
      </w:r>
      <w:r>
        <w:rPr>
          <w:rFonts w:hint="eastAsia" w:ascii="Times New Roman" w:hAnsi="Times New Roman"/>
          <w:color w:val="auto"/>
          <w:highlight w:val="none"/>
        </w:rPr>
        <w:t>项目竞争性谈判采购活动中（</w:t>
      </w:r>
      <w:r>
        <w:rPr>
          <w:rFonts w:hint="eastAsia" w:ascii="Times New Roman" w:hAnsi="Times New Roman"/>
          <w:color w:val="auto"/>
          <w:highlight w:val="none"/>
          <w:u w:val="single"/>
        </w:rPr>
        <w:t>项目编号          ），</w:t>
      </w:r>
      <w:r>
        <w:rPr>
          <w:rFonts w:hint="eastAsia" w:ascii="Times New Roman" w:hAnsi="Times New Roman"/>
          <w:color w:val="auto"/>
          <w:highlight w:val="none"/>
        </w:rPr>
        <w:t>提交了</w:t>
      </w:r>
      <w:r>
        <w:rPr>
          <w:rFonts w:hint="eastAsia" w:ascii="Times New Roman" w:hAnsi="Times New Roman"/>
          <w:color w:val="auto"/>
          <w:highlight w:val="none"/>
          <w:u w:val="single"/>
        </w:rPr>
        <w:t>             </w:t>
      </w:r>
      <w:r>
        <w:rPr>
          <w:rFonts w:hint="eastAsia" w:ascii="Times New Roman" w:hAnsi="Times New Roman"/>
          <w:color w:val="auto"/>
          <w:highlight w:val="none"/>
        </w:rPr>
        <w:t>元人民币的谈判保证金。我公司汇出谈判保证金的账户信息如下：</w:t>
      </w:r>
    </w:p>
    <w:p>
      <w:pPr>
        <w:ind w:firstLine="424" w:firstLineChars="202"/>
        <w:rPr>
          <w:rFonts w:ascii="Times New Roman" w:hAnsi="Times New Roman"/>
          <w:color w:val="auto"/>
          <w:highlight w:val="none"/>
        </w:rPr>
      </w:pPr>
      <w:r>
        <w:rPr>
          <w:rFonts w:hint="eastAsia" w:ascii="Times New Roman" w:hAnsi="Times New Roman"/>
          <w:color w:val="auto"/>
          <w:highlight w:val="none"/>
        </w:rPr>
        <w:t> </w:t>
      </w:r>
    </w:p>
    <w:p>
      <w:pPr>
        <w:ind w:firstLine="424" w:firstLineChars="202"/>
        <w:rPr>
          <w:rFonts w:ascii="Times New Roman" w:hAnsi="Times New Roman"/>
          <w:color w:val="auto"/>
          <w:highlight w:val="none"/>
        </w:rPr>
      </w:pPr>
      <w:r>
        <w:rPr>
          <w:rFonts w:hint="eastAsia" w:ascii="Times New Roman" w:hAnsi="Times New Roman"/>
          <w:color w:val="auto"/>
          <w:highlight w:val="none"/>
        </w:rPr>
        <w:t>1. 开户名：</w:t>
      </w:r>
    </w:p>
    <w:p>
      <w:pPr>
        <w:ind w:firstLine="424" w:firstLineChars="202"/>
        <w:rPr>
          <w:rFonts w:ascii="Times New Roman" w:hAnsi="Times New Roman"/>
          <w:color w:val="auto"/>
          <w:highlight w:val="none"/>
        </w:rPr>
      </w:pPr>
      <w:r>
        <w:rPr>
          <w:rFonts w:hint="eastAsia" w:ascii="Times New Roman" w:hAnsi="Times New Roman"/>
          <w:color w:val="auto"/>
          <w:highlight w:val="none"/>
        </w:rPr>
        <w:t>2. 开户行：</w:t>
      </w:r>
    </w:p>
    <w:p>
      <w:pPr>
        <w:ind w:firstLine="424" w:firstLineChars="202"/>
        <w:rPr>
          <w:rFonts w:hint="eastAsia" w:ascii="Times New Roman" w:hAnsi="Times New Roman"/>
          <w:color w:val="auto"/>
          <w:highlight w:val="none"/>
        </w:rPr>
      </w:pPr>
      <w:r>
        <w:rPr>
          <w:rFonts w:hint="eastAsia" w:ascii="Times New Roman" w:hAnsi="Times New Roman"/>
          <w:color w:val="auto"/>
          <w:highlight w:val="none"/>
        </w:rPr>
        <w:t>3. 账号：</w:t>
      </w:r>
    </w:p>
    <w:p>
      <w:pPr>
        <w:ind w:firstLine="424" w:firstLineChars="202"/>
        <w:rPr>
          <w:rFonts w:ascii="Times New Roman" w:hAnsi="Times New Roman"/>
          <w:color w:val="auto"/>
          <w:highlight w:val="none"/>
        </w:rPr>
      </w:pPr>
      <w:r>
        <w:rPr>
          <w:rFonts w:hint="eastAsia" w:ascii="Times New Roman" w:hAnsi="Times New Roman"/>
          <w:color w:val="auto"/>
          <w:highlight w:val="none"/>
        </w:rPr>
        <w:t>4.转账凭证:</w:t>
      </w:r>
    </w:p>
    <w:p>
      <w:pPr>
        <w:ind w:firstLine="424" w:firstLineChars="202"/>
        <w:rPr>
          <w:rFonts w:ascii="Times New Roman" w:hAnsi="Times New Roman"/>
          <w:color w:val="auto"/>
          <w:highlight w:val="none"/>
        </w:rPr>
      </w:pPr>
      <w:r>
        <w:rPr>
          <w:rFonts w:hint="eastAsia" w:ascii="Times New Roman" w:hAnsi="Times New Roman"/>
          <w:color w:val="auto"/>
          <w:highlight w:val="none"/>
        </w:rPr>
        <w:t> </w:t>
      </w:r>
    </w:p>
    <w:p>
      <w:pPr>
        <w:ind w:firstLine="424" w:firstLineChars="202"/>
        <w:rPr>
          <w:rFonts w:hint="eastAsia" w:ascii="Times New Roman" w:hAnsi="Times New Roman"/>
          <w:color w:val="auto"/>
          <w:highlight w:val="none"/>
        </w:rPr>
      </w:pPr>
      <w:r>
        <w:rPr>
          <w:rFonts w:hint="eastAsia" w:ascii="Times New Roman" w:hAnsi="Times New Roman"/>
          <w:color w:val="auto"/>
          <w:highlight w:val="none"/>
        </w:rPr>
        <w:t> </w:t>
      </w:r>
    </w:p>
    <w:p>
      <w:pPr>
        <w:ind w:firstLine="424" w:firstLineChars="202"/>
        <w:rPr>
          <w:rFonts w:hint="eastAsia" w:ascii="Times New Roman" w:hAnsi="Times New Roman"/>
          <w:color w:val="auto"/>
          <w:highlight w:val="none"/>
        </w:rPr>
      </w:pPr>
    </w:p>
    <w:p>
      <w:pPr>
        <w:ind w:firstLine="424" w:firstLineChars="202"/>
        <w:rPr>
          <w:rFonts w:hint="eastAsia" w:ascii="Times New Roman" w:hAnsi="Times New Roman"/>
          <w:color w:val="auto"/>
          <w:highlight w:val="none"/>
        </w:rPr>
      </w:pPr>
    </w:p>
    <w:p>
      <w:pPr>
        <w:ind w:firstLine="424" w:firstLineChars="202"/>
        <w:rPr>
          <w:rFonts w:ascii="Times New Roman" w:hAnsi="Times New Roman"/>
          <w:color w:val="auto"/>
          <w:highlight w:val="none"/>
        </w:rPr>
      </w:pPr>
      <w:r>
        <w:rPr>
          <w:rFonts w:hint="eastAsia" w:ascii="Times New Roman" w:hAnsi="Times New Roman"/>
          <w:color w:val="auto"/>
          <w:highlight w:val="none"/>
        </w:rPr>
        <w:t> </w:t>
      </w:r>
    </w:p>
    <w:p>
      <w:pPr>
        <w:ind w:firstLine="424" w:firstLineChars="202"/>
        <w:rPr>
          <w:rFonts w:ascii="Times New Roman" w:hAnsi="Times New Roman"/>
          <w:color w:val="auto"/>
          <w:highlight w:val="none"/>
        </w:rPr>
      </w:pPr>
      <w:r>
        <w:rPr>
          <w:rFonts w:hint="eastAsia" w:ascii="Times New Roman" w:hAnsi="Times New Roman"/>
          <w:color w:val="auto"/>
          <w:highlight w:val="none"/>
        </w:rPr>
        <w:t>供应商代表：</w:t>
      </w:r>
      <w:r>
        <w:rPr>
          <w:rFonts w:hint="eastAsia" w:ascii="Times New Roman" w:hAnsi="Times New Roman"/>
          <w:color w:val="auto"/>
          <w:highlight w:val="none"/>
          <w:u w:val="single"/>
        </w:rPr>
        <w:t>             （签字）</w:t>
      </w:r>
    </w:p>
    <w:p>
      <w:pPr>
        <w:ind w:firstLine="424" w:firstLineChars="202"/>
        <w:rPr>
          <w:rFonts w:ascii="Times New Roman" w:hAnsi="Times New Roman"/>
          <w:color w:val="auto"/>
          <w:highlight w:val="none"/>
        </w:rPr>
      </w:pPr>
      <w:r>
        <w:rPr>
          <w:rFonts w:hint="eastAsia" w:ascii="Times New Roman" w:hAnsi="Times New Roman"/>
          <w:color w:val="auto"/>
          <w:highlight w:val="none"/>
        </w:rPr>
        <w:t>供应商名称：</w:t>
      </w:r>
      <w:r>
        <w:rPr>
          <w:rFonts w:hint="eastAsia" w:ascii="Times New Roman" w:hAnsi="Times New Roman"/>
          <w:color w:val="auto"/>
          <w:highlight w:val="none"/>
          <w:u w:val="single"/>
        </w:rPr>
        <w:t>   （全称并加盖公章）</w:t>
      </w:r>
    </w:p>
    <w:p>
      <w:pPr>
        <w:ind w:firstLine="424" w:firstLineChars="202"/>
        <w:rPr>
          <w:rFonts w:ascii="Times New Roman" w:hAnsi="Times New Roman"/>
          <w:color w:val="auto"/>
          <w:highlight w:val="none"/>
        </w:rPr>
      </w:pPr>
      <w:r>
        <w:rPr>
          <w:rFonts w:hint="eastAsia" w:ascii="Times New Roman" w:hAnsi="Times New Roman"/>
          <w:color w:val="auto"/>
          <w:highlight w:val="none"/>
        </w:rPr>
        <w:t>日期：</w:t>
      </w:r>
      <w:r>
        <w:rPr>
          <w:rFonts w:hint="eastAsia" w:ascii="Times New Roman" w:hAnsi="Times New Roman"/>
          <w:color w:val="auto"/>
          <w:highlight w:val="none"/>
          <w:u w:val="single"/>
        </w:rPr>
        <w:t>   </w:t>
      </w:r>
      <w:r>
        <w:rPr>
          <w:rFonts w:hint="eastAsia" w:ascii="Times New Roman" w:hAnsi="Times New Roman"/>
          <w:color w:val="auto"/>
          <w:highlight w:val="none"/>
        </w:rPr>
        <w:t>年</w:t>
      </w:r>
      <w:r>
        <w:rPr>
          <w:rFonts w:hint="eastAsia" w:ascii="Times New Roman" w:hAnsi="Times New Roman"/>
          <w:color w:val="auto"/>
          <w:highlight w:val="none"/>
          <w:u w:val="single"/>
        </w:rPr>
        <w:t>   </w:t>
      </w:r>
      <w:r>
        <w:rPr>
          <w:rFonts w:hint="eastAsia" w:ascii="Times New Roman" w:hAnsi="Times New Roman"/>
          <w:color w:val="auto"/>
          <w:highlight w:val="none"/>
        </w:rPr>
        <w:t> 月</w:t>
      </w:r>
      <w:r>
        <w:rPr>
          <w:rFonts w:hint="eastAsia" w:ascii="Times New Roman" w:hAnsi="Times New Roman"/>
          <w:color w:val="auto"/>
          <w:highlight w:val="none"/>
          <w:u w:val="single"/>
        </w:rPr>
        <w:t>   </w:t>
      </w:r>
      <w:r>
        <w:rPr>
          <w:rFonts w:hint="eastAsia" w:ascii="Times New Roman" w:hAnsi="Times New Roman"/>
          <w:color w:val="auto"/>
          <w:highlight w:val="none"/>
        </w:rPr>
        <w:t>日    </w:t>
      </w:r>
    </w:p>
    <w:p>
      <w:pPr>
        <w:widowControl/>
        <w:jc w:val="left"/>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b/>
          <w:color w:val="auto"/>
          <w:kern w:val="0"/>
          <w:szCs w:val="21"/>
          <w:highlight w:val="none"/>
        </w:rPr>
        <w:t xml:space="preserve">附件5  </w:t>
      </w:r>
      <w:r>
        <w:rPr>
          <w:rFonts w:hint="eastAsia" w:ascii="宋体" w:hAnsi="宋体" w:cs="宋体"/>
          <w:b/>
          <w:bCs/>
          <w:color w:val="auto"/>
          <w:kern w:val="0"/>
          <w:szCs w:val="21"/>
          <w:highlight w:val="none"/>
        </w:rPr>
        <w:t>技术和商务偏离表</w:t>
      </w:r>
      <w:r>
        <w:rPr>
          <w:rFonts w:hint="eastAsia" w:ascii="宋体" w:hAnsi="宋体" w:cs="宋体"/>
          <w:color w:val="auto"/>
          <w:kern w:val="0"/>
          <w:szCs w:val="21"/>
          <w:highlight w:val="none"/>
        </w:rPr>
        <w:br w:type="textWrapping"/>
      </w:r>
    </w:p>
    <w:p>
      <w:pPr>
        <w:widowControl/>
        <w:jc w:val="center"/>
        <w:rPr>
          <w:rFonts w:hint="eastAsia" w:ascii="宋体" w:hAnsi="宋体" w:cs="宋体"/>
          <w:b/>
          <w:color w:val="auto"/>
          <w:kern w:val="0"/>
          <w:szCs w:val="21"/>
          <w:highlight w:val="none"/>
        </w:rPr>
      </w:pPr>
      <w:r>
        <w:rPr>
          <w:rFonts w:hint="eastAsia" w:ascii="宋体" w:hAnsi="宋体" w:cs="宋体"/>
          <w:b/>
          <w:color w:val="auto"/>
          <w:kern w:val="0"/>
          <w:szCs w:val="21"/>
          <w:highlight w:val="none"/>
        </w:rPr>
        <w:t xml:space="preserve">附件5-1    </w:t>
      </w:r>
      <w:r>
        <w:rPr>
          <w:rFonts w:hint="eastAsia" w:ascii="宋体" w:hAnsi="宋体" w:cs="宋体"/>
          <w:b/>
          <w:bCs/>
          <w:color w:val="auto"/>
          <w:kern w:val="0"/>
          <w:szCs w:val="21"/>
          <w:highlight w:val="none"/>
        </w:rPr>
        <w:t>技术和服务要求响应表</w:t>
      </w:r>
    </w:p>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（全称加盖单位公章）  项目编号∶</w:t>
      </w:r>
    </w:p>
    <w:tbl>
      <w:tblPr>
        <w:tblStyle w:val="18"/>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729"/>
        <w:gridCol w:w="1408"/>
        <w:gridCol w:w="2336"/>
        <w:gridCol w:w="2032"/>
        <w:gridCol w:w="122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77" w:hRule="atLeast"/>
          <w:tblCellSpacing w:w="15" w:type="dxa"/>
        </w:trPr>
        <w:tc>
          <w:tcPr>
            <w:tcW w:w="684" w:type="dxa"/>
            <w:tcBorders>
              <w:top w:val="outset" w:color="000000" w:sz="6"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spacing w:line="375" w:lineRule="atLeast"/>
              <w:jc w:val="lef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采购包</w:t>
            </w:r>
          </w:p>
        </w:tc>
        <w:tc>
          <w:tcPr>
            <w:tcW w:w="1378" w:type="dxa"/>
            <w:tcBorders>
              <w:top w:val="outset" w:color="000000" w:sz="6"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章节条目号</w:t>
            </w:r>
          </w:p>
        </w:tc>
        <w:tc>
          <w:tcPr>
            <w:tcW w:w="2306" w:type="dxa"/>
            <w:tcBorders>
              <w:top w:val="outset" w:color="000000" w:sz="6"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竞争性谈判文件规定的技术和服务要求</w:t>
            </w:r>
          </w:p>
        </w:tc>
        <w:tc>
          <w:tcPr>
            <w:tcW w:w="2002" w:type="dxa"/>
            <w:tcBorders>
              <w:top w:val="outset" w:color="000000" w:sz="6"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响应文件响应承诺</w:t>
            </w:r>
          </w:p>
        </w:tc>
        <w:tc>
          <w:tcPr>
            <w:tcW w:w="1175" w:type="dxa"/>
            <w:tcBorders>
              <w:top w:val="outset" w:color="000000" w:sz="6"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是否偏离及说明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4"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02"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5"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4"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02"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5"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4"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02"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5"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4"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02"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5"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4"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02"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5"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4"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02"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5"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4"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02"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5"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4"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02"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5"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4"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02"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5"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4"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02"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5"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4"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02"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5"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bl>
    <w:p>
      <w:pPr>
        <w:widowControl/>
        <w:spacing w:line="375" w:lineRule="atLeas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注：（1）竞争性谈判文件（含技术和服务要求等）规定的各相关条款要求，如果供应商在响应文件中没有以书面方式对竞争性谈判文件规定的各项要求和条款提出不满足或不响应或负偏离，则视为供应商能够完全理解并满足本竞争性谈判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谈判保证金（如果未签订合同）将不予退还，给采购人和采购代理机构造成损失的，还必须进行赔偿并负相关责任。</w:t>
      </w:r>
    </w:p>
    <w:p>
      <w:pPr>
        <w:widowControl/>
        <w:spacing w:line="375" w:lineRule="atLeas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2）谈判文件不能详细列明采购标的的技术、服务要求，需经谈判由供应商提供最终设计方案或解决方案的；或者供应商需要说明的内容需要通过图片、视频等特殊表达；无法适用上表格式文字说明的，则供应商可在本表中进行相应说明和页码索引，再另页具体提交应答。</w:t>
      </w:r>
    </w:p>
    <w:p>
      <w:pPr>
        <w:widowControl/>
        <w:spacing w:line="375" w:lineRule="atLeast"/>
        <w:jc w:val="left"/>
        <w:rPr>
          <w:rFonts w:hint="eastAsia" w:ascii="宋体" w:hAnsi="宋体" w:cs="宋体"/>
          <w:color w:val="auto"/>
          <w:kern w:val="0"/>
          <w:szCs w:val="21"/>
          <w:highlight w:val="none"/>
        </w:rPr>
      </w:pPr>
    </w:p>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供应商代表签字： ________________</w:t>
      </w: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br w:type="textWrapping"/>
      </w:r>
    </w:p>
    <w:p>
      <w:pPr>
        <w:widowControl/>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b/>
          <w:color w:val="auto"/>
          <w:kern w:val="0"/>
          <w:szCs w:val="21"/>
          <w:highlight w:val="none"/>
        </w:rPr>
        <w:t xml:space="preserve">附件5-2     </w:t>
      </w:r>
      <w:r>
        <w:rPr>
          <w:rFonts w:hint="eastAsia" w:ascii="宋体" w:hAnsi="宋体" w:cs="宋体"/>
          <w:b/>
          <w:bCs/>
          <w:color w:val="auto"/>
          <w:kern w:val="0"/>
          <w:szCs w:val="21"/>
          <w:highlight w:val="none"/>
        </w:rPr>
        <w:t>商务条件和其它事项响应表</w:t>
      </w:r>
    </w:p>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（全称加盖单位公章）  项目编号∶</w:t>
      </w:r>
    </w:p>
    <w:tbl>
      <w:tblPr>
        <w:tblStyle w:val="18"/>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728"/>
        <w:gridCol w:w="1408"/>
        <w:gridCol w:w="2336"/>
        <w:gridCol w:w="2046"/>
        <w:gridCol w:w="116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45" w:hRule="atLeast"/>
          <w:tblCellSpacing w:w="15" w:type="dxa"/>
        </w:trPr>
        <w:tc>
          <w:tcPr>
            <w:tcW w:w="683" w:type="dxa"/>
            <w:tcBorders>
              <w:top w:val="outset" w:color="000000" w:sz="6"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spacing w:line="375" w:lineRule="atLeast"/>
              <w:jc w:val="lef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采购包</w:t>
            </w:r>
          </w:p>
        </w:tc>
        <w:tc>
          <w:tcPr>
            <w:tcW w:w="1378" w:type="dxa"/>
            <w:tcBorders>
              <w:top w:val="outset" w:color="000000" w:sz="6"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章节条目号</w:t>
            </w:r>
          </w:p>
        </w:tc>
        <w:tc>
          <w:tcPr>
            <w:tcW w:w="2306" w:type="dxa"/>
            <w:tcBorders>
              <w:top w:val="outset" w:color="000000" w:sz="6"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竞争性谈判文件规定的商务条件要求</w:t>
            </w:r>
          </w:p>
        </w:tc>
        <w:tc>
          <w:tcPr>
            <w:tcW w:w="2016" w:type="dxa"/>
            <w:tcBorders>
              <w:top w:val="outset" w:color="000000" w:sz="6"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响应文件响应承诺</w:t>
            </w:r>
          </w:p>
        </w:tc>
        <w:tc>
          <w:tcPr>
            <w:tcW w:w="1117" w:type="dxa"/>
            <w:tcBorders>
              <w:top w:val="outset" w:color="000000" w:sz="6"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是否偏离及说明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3"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1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17"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3"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1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17"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3"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1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17"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3"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1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17"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3"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1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17"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3"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1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17"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3"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1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17"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3"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1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17"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3"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1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17"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3"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1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17"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83" w:type="dxa"/>
            <w:tcBorders>
              <w:top w:val="single" w:color="auto" w:sz="0" w:space="0"/>
              <w:left w:val="outset" w:color="000000" w:sz="6"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378"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30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2016"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17" w:type="dxa"/>
            <w:tcBorders>
              <w:top w:val="single" w:color="auto" w:sz="0" w:space="0"/>
              <w:left w:val="single" w:color="auto" w:sz="0" w:space="0"/>
              <w:bottom w:val="outset" w:color="000000" w:sz="6" w:space="0"/>
              <w:right w:val="outset" w:color="000000"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bl>
    <w:p>
      <w:pPr>
        <w:widowControl/>
        <w:spacing w:line="375" w:lineRule="atLeas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注：（1）竞争性谈判文件（含技术和服务要求等）规定的各相关条款要求，如果供应商在响应文件中没有以书面方式对竞争性谈判文件规定的各项要求和条款提出不满足或不响应或负偏离，则视为供应商能够完全理解并满足本竞争性谈判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谈判保证金（如果未签订合同）将不予退还，给采购人和采购代理机构造成损失的，还必须进行赔偿并负相关责任。</w:t>
      </w:r>
    </w:p>
    <w:p>
      <w:pPr>
        <w:widowControl/>
        <w:spacing w:line="375" w:lineRule="atLeas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2）谈判文件不能详细列明采购标的的技术、服务要求，需经谈判由供应商提供最终设计方案或解决方案的；或者供应商需要说明的内容需要通过图片、视频等特殊表达；无法适用上表格式文字说明的，则供应商可在本表中进行相应说明和页码索引，再另页具体提交应答。</w:t>
      </w:r>
    </w:p>
    <w:p>
      <w:pPr>
        <w:widowControl/>
        <w:spacing w:line="375" w:lineRule="atLeast"/>
        <w:jc w:val="left"/>
        <w:rPr>
          <w:rFonts w:hint="eastAsia" w:ascii="宋体" w:hAnsi="宋体" w:cs="宋体"/>
          <w:color w:val="auto"/>
          <w:kern w:val="0"/>
          <w:szCs w:val="21"/>
          <w:highlight w:val="none"/>
        </w:rPr>
      </w:pPr>
    </w:p>
    <w:p>
      <w:pPr>
        <w:widowControl/>
        <w:spacing w:line="37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供应商代表签字：________________</w:t>
      </w:r>
    </w:p>
    <w:p>
      <w:pPr>
        <w:widowControl/>
        <w:spacing w:line="420" w:lineRule="atLeast"/>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color w:val="auto"/>
          <w:kern w:val="0"/>
          <w:szCs w:val="21"/>
          <w:highlight w:val="none"/>
        </w:rPr>
        <w:br w:type="textWrapping"/>
      </w:r>
      <w:r>
        <w:rPr>
          <w:rFonts w:hint="eastAsia" w:ascii="宋体" w:hAnsi="宋体" w:cs="宋体"/>
          <w:b/>
          <w:color w:val="auto"/>
          <w:kern w:val="0"/>
          <w:szCs w:val="21"/>
          <w:highlight w:val="none"/>
        </w:rPr>
        <w:t xml:space="preserve">附件6      </w:t>
      </w:r>
      <w:r>
        <w:rPr>
          <w:rFonts w:hint="eastAsia" w:ascii="宋体" w:hAnsi="宋体" w:cs="宋体"/>
          <w:b/>
          <w:bCs/>
          <w:color w:val="auto"/>
          <w:kern w:val="0"/>
          <w:szCs w:val="21"/>
          <w:highlight w:val="none"/>
        </w:rPr>
        <w:t>相关技术、商务、服务响应承诺及资料</w:t>
      </w:r>
    </w:p>
    <w:p>
      <w:pPr>
        <w:widowControl/>
        <w:spacing w:line="420" w:lineRule="atLeast"/>
        <w:jc w:val="left"/>
        <w:rPr>
          <w:rFonts w:hint="eastAsia" w:ascii="宋体" w:hAnsi="宋体" w:cs="宋体"/>
          <w:color w:val="auto"/>
          <w:kern w:val="0"/>
          <w:szCs w:val="21"/>
          <w:highlight w:val="none"/>
        </w:rPr>
      </w:pPr>
    </w:p>
    <w:p>
      <w:pPr>
        <w:widowControl/>
        <w:spacing w:line="495" w:lineRule="atLeast"/>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说明：</w:t>
      </w:r>
    </w:p>
    <w:p>
      <w:pPr>
        <w:widowControl/>
        <w:spacing w:line="495" w:lineRule="atLeast"/>
        <w:ind w:firstLine="210" w:firstLineChars="1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采购人或采购代理机构可以根据项目的特点和需要，在谈判文件中对供应商需要提供的相关技术、商务、服务响应承诺及资料进行具体规定或附表格式，供应商应按照谈判文件要求提供相关承诺及材料，并加盖供应商单位公章。</w:t>
      </w:r>
    </w:p>
    <w:p>
      <w:pPr>
        <w:widowControl/>
        <w:spacing w:line="495" w:lineRule="atLeast"/>
        <w:ind w:firstLine="210" w:firstLineChars="1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2如果没有特别要求的，供应商根据谈判文件的要求以及特点，提供相关技术、商务、服务响应承诺及资料，格式自拟。</w:t>
      </w:r>
    </w:p>
    <w:p>
      <w:pPr>
        <w:widowControl/>
        <w:spacing w:line="495" w:lineRule="atLeast"/>
        <w:jc w:val="left"/>
        <w:rPr>
          <w:rFonts w:hint="eastAsia" w:ascii="宋体" w:hAnsi="宋体" w:cs="宋体"/>
          <w:color w:val="auto"/>
          <w:kern w:val="0"/>
          <w:szCs w:val="21"/>
          <w:highlight w:val="none"/>
        </w:rPr>
      </w:pPr>
    </w:p>
    <w:p>
      <w:pPr>
        <w:widowControl/>
        <w:spacing w:line="495" w:lineRule="atLeast"/>
        <w:jc w:val="left"/>
        <w:rPr>
          <w:rFonts w:hint="eastAsia" w:ascii="宋体" w:hAnsi="宋体" w:cs="宋体"/>
          <w:color w:val="auto"/>
          <w:kern w:val="0"/>
          <w:szCs w:val="21"/>
          <w:highlight w:val="none"/>
        </w:rPr>
      </w:pPr>
    </w:p>
    <w:p>
      <w:pPr>
        <w:widowControl/>
        <w:spacing w:line="420" w:lineRule="atLeast"/>
        <w:ind w:firstLine="480"/>
        <w:jc w:val="left"/>
        <w:rPr>
          <w:rFonts w:hint="eastAsia" w:ascii="宋体" w:hAnsi="宋体" w:cs="宋体"/>
          <w:color w:val="auto"/>
          <w:kern w:val="0"/>
          <w:szCs w:val="21"/>
          <w:highlight w:val="none"/>
        </w:rPr>
      </w:pPr>
    </w:p>
    <w:p>
      <w:pPr>
        <w:widowControl/>
        <w:spacing w:line="420" w:lineRule="atLeast"/>
        <w:ind w:firstLine="480"/>
        <w:jc w:val="left"/>
        <w:rPr>
          <w:rFonts w:hint="eastAsia" w:ascii="宋体" w:hAnsi="宋体" w:cs="宋体"/>
          <w:color w:val="auto"/>
          <w:kern w:val="0"/>
          <w:szCs w:val="21"/>
          <w:highlight w:val="none"/>
        </w:rPr>
      </w:pPr>
    </w:p>
    <w:p>
      <w:pPr>
        <w:widowControl/>
        <w:spacing w:line="49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w:t>
      </w:r>
    </w:p>
    <w:p>
      <w:pPr>
        <w:widowControl/>
        <w:spacing w:line="49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（全称并加盖公章）</w:t>
      </w:r>
    </w:p>
    <w:p>
      <w:pPr>
        <w:widowControl/>
        <w:spacing w:line="49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 </w:t>
      </w:r>
    </w:p>
    <w:p>
      <w:pPr>
        <w:widowControl/>
        <w:spacing w:line="465" w:lineRule="atLeast"/>
        <w:jc w:val="left"/>
        <w:rPr>
          <w:rFonts w:hint="eastAsia" w:ascii="宋体" w:hAnsi="宋体" w:cs="宋体"/>
          <w:color w:val="auto"/>
          <w:kern w:val="0"/>
          <w:szCs w:val="21"/>
          <w:highlight w:val="none"/>
        </w:rPr>
      </w:pPr>
    </w:p>
    <w:p>
      <w:pPr>
        <w:widowControl/>
        <w:spacing w:line="465" w:lineRule="atLeast"/>
        <w:jc w:val="center"/>
        <w:rPr>
          <w:rFonts w:hint="eastAsia" w:ascii="宋体" w:hAnsi="宋体" w:cs="宋体"/>
          <w:b/>
          <w:color w:val="auto"/>
          <w:kern w:val="0"/>
          <w:szCs w:val="21"/>
          <w:highlight w:val="none"/>
        </w:rPr>
      </w:pPr>
      <w:r>
        <w:rPr>
          <w:rFonts w:hint="eastAsia" w:ascii="宋体" w:hAnsi="宋体" w:cs="宋体"/>
          <w:b/>
          <w:color w:val="auto"/>
          <w:kern w:val="0"/>
          <w:szCs w:val="21"/>
          <w:highlight w:val="none"/>
        </w:rPr>
        <w:br w:type="page"/>
      </w:r>
      <w:r>
        <w:rPr>
          <w:rFonts w:hint="eastAsia" w:ascii="宋体" w:hAnsi="宋体" w:cs="宋体"/>
          <w:b/>
          <w:color w:val="auto"/>
          <w:kern w:val="0"/>
          <w:szCs w:val="21"/>
          <w:highlight w:val="none"/>
        </w:rPr>
        <w:t xml:space="preserve">附件7     </w:t>
      </w:r>
      <w:r>
        <w:rPr>
          <w:rFonts w:hint="eastAsia" w:ascii="宋体" w:hAnsi="宋体" w:cs="宋体"/>
          <w:b/>
          <w:bCs/>
          <w:color w:val="auto"/>
          <w:kern w:val="0"/>
          <w:szCs w:val="21"/>
          <w:highlight w:val="none"/>
        </w:rPr>
        <w:t>供应商提交符合政府采购政策的证明材料</w:t>
      </w:r>
    </w:p>
    <w:p>
      <w:pPr>
        <w:widowControl/>
        <w:spacing w:line="420" w:lineRule="atLeast"/>
        <w:ind w:firstLine="480"/>
        <w:jc w:val="center"/>
        <w:rPr>
          <w:rFonts w:hint="eastAsia" w:ascii="宋体" w:hAnsi="宋体" w:cs="宋体"/>
          <w:b/>
          <w:color w:val="auto"/>
          <w:kern w:val="0"/>
          <w:szCs w:val="21"/>
          <w:highlight w:val="none"/>
        </w:rPr>
      </w:pPr>
    </w:p>
    <w:p>
      <w:pPr>
        <w:widowControl/>
        <w:jc w:val="center"/>
        <w:rPr>
          <w:rFonts w:hint="eastAsia" w:ascii="宋体" w:hAnsi="宋体" w:cs="宋体"/>
          <w:b/>
          <w:color w:val="auto"/>
          <w:kern w:val="0"/>
          <w:szCs w:val="21"/>
          <w:highlight w:val="none"/>
        </w:rPr>
      </w:pPr>
      <w:r>
        <w:rPr>
          <w:rFonts w:hint="eastAsia" w:ascii="宋体" w:hAnsi="宋体" w:cs="宋体"/>
          <w:b/>
          <w:color w:val="auto"/>
          <w:kern w:val="0"/>
          <w:szCs w:val="21"/>
          <w:highlight w:val="none"/>
        </w:rPr>
        <w:t xml:space="preserve">附件7-1-1     </w:t>
      </w:r>
      <w:r>
        <w:rPr>
          <w:rFonts w:hint="eastAsia" w:ascii="宋体" w:hAnsi="宋体" w:cs="宋体"/>
          <w:b/>
          <w:bCs/>
          <w:color w:val="auto"/>
          <w:kern w:val="0"/>
          <w:szCs w:val="21"/>
          <w:highlight w:val="none"/>
        </w:rPr>
        <w:t>中小企业声明函（如果有的话）</w:t>
      </w:r>
    </w:p>
    <w:p>
      <w:pPr>
        <w:widowControl/>
        <w:spacing w:line="315" w:lineRule="atLeast"/>
        <w:rPr>
          <w:rFonts w:hint="eastAsia" w:ascii="宋体" w:hAnsi="宋体" w:cs="宋体"/>
          <w:color w:val="auto"/>
          <w:kern w:val="0"/>
          <w:szCs w:val="21"/>
          <w:highlight w:val="none"/>
        </w:rPr>
      </w:pPr>
    </w:p>
    <w:p>
      <w:pPr>
        <w:keepNext w:val="0"/>
        <w:keepLines w:val="0"/>
        <w:widowControl/>
        <w:suppressLineNumbers w:val="0"/>
        <w:spacing w:before="75" w:beforeAutospacing="0" w:after="75" w:afterAutospacing="0"/>
        <w:ind w:left="0" w:right="0" w:firstLine="2880"/>
        <w:jc w:val="left"/>
        <w:rPr>
          <w:rFonts w:ascii="Times New Roman" w:hAnsi="Times New Roman" w:eastAsia="宋体" w:cs="Times New Roman"/>
          <w:b/>
          <w:bCs/>
          <w:color w:val="auto"/>
          <w:spacing w:val="0"/>
          <w:kern w:val="0"/>
          <w:sz w:val="24"/>
          <w:szCs w:val="24"/>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 </w:t>
      </w:r>
      <w:r>
        <w:rPr>
          <w:rFonts w:ascii="Times New Roman" w:hAnsi="Times New Roman" w:eastAsia="宋体" w:cs="Times New Roman"/>
          <w:b/>
          <w:bCs/>
          <w:color w:val="auto"/>
          <w:spacing w:val="0"/>
          <w:kern w:val="0"/>
          <w:sz w:val="24"/>
          <w:szCs w:val="24"/>
          <w:highlight w:val="none"/>
          <w:lang w:val="en-US" w:eastAsia="zh-CN" w:bidi="ar"/>
        </w:rPr>
        <w:t>中小企业声明函（货物）</w:t>
      </w:r>
    </w:p>
    <w:p>
      <w:pPr>
        <w:keepNext w:val="0"/>
        <w:keepLines w:val="0"/>
        <w:widowControl/>
        <w:suppressLineNumbers w:val="0"/>
        <w:spacing w:before="75" w:beforeAutospacing="0" w:after="75" w:afterAutospacing="0"/>
        <w:ind w:left="0" w:right="0" w:firstLine="2880"/>
        <w:jc w:val="left"/>
        <w:rPr>
          <w:rFonts w:ascii="Times New Roman" w:hAnsi="Times New Roman" w:eastAsia="宋体" w:cs="Times New Roman"/>
          <w:color w:val="auto"/>
          <w:spacing w:val="0"/>
          <w:kern w:val="0"/>
          <w:sz w:val="24"/>
          <w:szCs w:val="24"/>
          <w:highlight w:val="none"/>
          <w:lang w:val="en-US" w:eastAsia="zh-CN" w:bidi="ar"/>
        </w:rPr>
      </w:pPr>
      <w:r>
        <w:rPr>
          <w:rFonts w:ascii="Times New Roman" w:hAnsi="Times New Roman" w:eastAsia="宋体" w:cs="Times New Roman"/>
          <w:color w:val="auto"/>
          <w:spacing w:val="0"/>
          <w:kern w:val="0"/>
          <w:sz w:val="24"/>
          <w:szCs w:val="24"/>
          <w:highlight w:val="none"/>
          <w:lang w:val="en-US" w:eastAsia="zh-CN" w:bidi="ar"/>
        </w:rPr>
        <w:br w:type="textWrapping"/>
      </w:r>
      <w:r>
        <w:rPr>
          <w:rFonts w:ascii="Times New Roman" w:hAnsi="Times New Roman" w:eastAsia="宋体" w:cs="Times New Roman"/>
          <w:color w:val="auto"/>
          <w:spacing w:val="0"/>
          <w:kern w:val="0"/>
          <w:sz w:val="24"/>
          <w:szCs w:val="24"/>
          <w:highlight w:val="none"/>
          <w:lang w:val="en-US" w:eastAsia="zh-CN" w:bidi="ar"/>
        </w:rPr>
        <w:t>     </w:t>
      </w:r>
      <w:r>
        <w:rPr>
          <w:rFonts w:ascii="宋体" w:hAnsi="宋体" w:eastAsia="宋体" w:cs="宋体"/>
          <w:color w:val="auto"/>
          <w:spacing w:val="0"/>
          <w:kern w:val="0"/>
          <w:sz w:val="21"/>
          <w:szCs w:val="21"/>
          <w:highlight w:val="none"/>
          <w:lang w:val="en-US" w:eastAsia="zh-CN" w:bidi="ar"/>
        </w:rPr>
        <w:t>本公司（联合体）郑重声明，根据《政府采购促进中小企业发展管理办法》（财库﹝</w:t>
      </w:r>
      <w:r>
        <w:rPr>
          <w:rFonts w:hint="eastAsia" w:ascii="宋体" w:hAnsi="宋体" w:eastAsia="宋体" w:cs="宋体"/>
          <w:color w:val="auto"/>
          <w:spacing w:val="0"/>
          <w:kern w:val="0"/>
          <w:sz w:val="21"/>
          <w:szCs w:val="21"/>
          <w:highlight w:val="none"/>
          <w:lang w:val="en-US" w:eastAsia="zh-CN" w:bidi="ar"/>
        </w:rPr>
        <w:t>2020﹞46 号）的规定，本公司（联合体）参加</w:t>
      </w:r>
      <w:r>
        <w:rPr>
          <w:rFonts w:hint="eastAsia" w:ascii="宋体" w:hAnsi="宋体" w:eastAsia="宋体" w:cs="宋体"/>
          <w:color w:val="auto"/>
          <w:spacing w:val="0"/>
          <w:kern w:val="0"/>
          <w:sz w:val="21"/>
          <w:szCs w:val="21"/>
          <w:highlight w:val="none"/>
          <w:u w:val="single"/>
          <w:lang w:val="en-US" w:eastAsia="zh-CN" w:bidi="ar"/>
        </w:rPr>
        <w:t>（单位名称）</w:t>
      </w:r>
      <w:r>
        <w:rPr>
          <w:rFonts w:hint="eastAsia" w:ascii="宋体" w:hAnsi="宋体" w:eastAsia="宋体" w:cs="宋体"/>
          <w:color w:val="auto"/>
          <w:spacing w:val="0"/>
          <w:kern w:val="0"/>
          <w:sz w:val="21"/>
          <w:szCs w:val="21"/>
          <w:highlight w:val="none"/>
          <w:lang w:val="en-US" w:eastAsia="zh-CN" w:bidi="ar"/>
        </w:rPr>
        <w:t>的</w:t>
      </w:r>
      <w:r>
        <w:rPr>
          <w:rFonts w:hint="eastAsia" w:ascii="宋体" w:hAnsi="宋体" w:eastAsia="宋体" w:cs="宋体"/>
          <w:color w:val="auto"/>
          <w:spacing w:val="0"/>
          <w:kern w:val="0"/>
          <w:sz w:val="21"/>
          <w:szCs w:val="21"/>
          <w:highlight w:val="none"/>
          <w:u w:val="single"/>
          <w:lang w:val="en-US" w:eastAsia="zh-CN" w:bidi="ar"/>
        </w:rPr>
        <w:t>（项目名称）</w:t>
      </w:r>
      <w:r>
        <w:rPr>
          <w:rFonts w:hint="eastAsia" w:ascii="宋体" w:hAnsi="宋体" w:eastAsia="宋体" w:cs="宋体"/>
          <w:color w:val="auto"/>
          <w:spacing w:val="0"/>
          <w:kern w:val="0"/>
          <w:sz w:val="21"/>
          <w:szCs w:val="21"/>
          <w:highlight w:val="none"/>
          <w:lang w:val="en-US" w:eastAsia="zh-CN" w:bidi="ar"/>
        </w:rPr>
        <w:t>采购活动，</w:t>
      </w:r>
      <w:r>
        <w:rPr>
          <w:rFonts w:hint="eastAsia" w:ascii="宋体" w:hAnsi="宋体" w:eastAsia="宋体" w:cs="宋体"/>
          <w:b/>
          <w:bCs/>
          <w:color w:val="auto"/>
          <w:spacing w:val="0"/>
          <w:kern w:val="0"/>
          <w:sz w:val="21"/>
          <w:szCs w:val="21"/>
          <w:highlight w:val="none"/>
          <w:lang w:val="en-US" w:eastAsia="zh-CN" w:bidi="ar"/>
        </w:rPr>
        <w:t>提供的货物全部由符合政策要求的中小企业制造</w:t>
      </w:r>
      <w:r>
        <w:rPr>
          <w:rFonts w:hint="eastAsia" w:ascii="宋体" w:hAnsi="宋体" w:eastAsia="宋体" w:cs="宋体"/>
          <w:color w:val="auto"/>
          <w:spacing w:val="0"/>
          <w:kern w:val="0"/>
          <w:sz w:val="21"/>
          <w:szCs w:val="21"/>
          <w:highlight w:val="none"/>
          <w:lang w:val="en-US" w:eastAsia="zh-CN" w:bidi="ar"/>
        </w:rPr>
        <w:t>。相关企业（含联合体中的中小企业、签订分包意向协议的中小企业） 的具体情况如下：</w:t>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1.</w:t>
      </w:r>
      <w:r>
        <w:rPr>
          <w:rFonts w:hint="eastAsia" w:ascii="宋体" w:hAnsi="宋体" w:eastAsia="宋体" w:cs="宋体"/>
          <w:color w:val="auto"/>
          <w:spacing w:val="0"/>
          <w:kern w:val="0"/>
          <w:sz w:val="21"/>
          <w:szCs w:val="21"/>
          <w:highlight w:val="none"/>
          <w:u w:val="single"/>
          <w:lang w:val="en-US" w:eastAsia="zh-CN" w:bidi="ar"/>
        </w:rPr>
        <w:t>（标的名称）</w:t>
      </w:r>
      <w:r>
        <w:rPr>
          <w:rFonts w:hint="eastAsia" w:ascii="宋体" w:hAnsi="宋体" w:eastAsia="宋体" w:cs="宋体"/>
          <w:color w:val="auto"/>
          <w:spacing w:val="0"/>
          <w:kern w:val="0"/>
          <w:sz w:val="21"/>
          <w:szCs w:val="21"/>
          <w:highlight w:val="none"/>
          <w:lang w:val="en-US" w:eastAsia="zh-CN" w:bidi="ar"/>
        </w:rPr>
        <w:t>，属于</w:t>
      </w:r>
      <w:r>
        <w:rPr>
          <w:rFonts w:hint="eastAsia" w:ascii="宋体" w:hAnsi="宋体" w:eastAsia="宋体" w:cs="宋体"/>
          <w:color w:val="auto"/>
          <w:spacing w:val="0"/>
          <w:kern w:val="0"/>
          <w:sz w:val="21"/>
          <w:szCs w:val="21"/>
          <w:highlight w:val="none"/>
          <w:u w:val="single"/>
          <w:lang w:val="en-US" w:eastAsia="zh-CN" w:bidi="ar"/>
        </w:rPr>
        <w:t>（采购文件中明确的所属行业）</w:t>
      </w:r>
      <w:r>
        <w:rPr>
          <w:rFonts w:hint="eastAsia" w:ascii="宋体" w:hAnsi="宋体" w:eastAsia="宋体" w:cs="宋体"/>
          <w:color w:val="auto"/>
          <w:spacing w:val="0"/>
          <w:kern w:val="0"/>
          <w:sz w:val="21"/>
          <w:szCs w:val="21"/>
          <w:highlight w:val="none"/>
          <w:lang w:val="en-US" w:eastAsia="zh-CN" w:bidi="ar"/>
        </w:rPr>
        <w:t>行业；制造商为</w:t>
      </w:r>
      <w:r>
        <w:rPr>
          <w:rFonts w:hint="eastAsia" w:ascii="宋体" w:hAnsi="宋体" w:eastAsia="宋体" w:cs="宋体"/>
          <w:color w:val="auto"/>
          <w:spacing w:val="0"/>
          <w:kern w:val="0"/>
          <w:sz w:val="21"/>
          <w:szCs w:val="21"/>
          <w:highlight w:val="none"/>
          <w:u w:val="single"/>
          <w:lang w:val="en-US" w:eastAsia="zh-CN" w:bidi="ar"/>
        </w:rPr>
        <w:t>（企业名称）</w:t>
      </w:r>
      <w:r>
        <w:rPr>
          <w:rFonts w:hint="eastAsia" w:ascii="宋体" w:hAnsi="宋体" w:eastAsia="宋体" w:cs="宋体"/>
          <w:color w:val="auto"/>
          <w:spacing w:val="0"/>
          <w:kern w:val="0"/>
          <w:sz w:val="21"/>
          <w:szCs w:val="21"/>
          <w:highlight w:val="none"/>
          <w:lang w:val="en-US" w:eastAsia="zh-CN" w:bidi="ar"/>
        </w:rPr>
        <w:t>，从业人员</w:t>
      </w:r>
      <w:r>
        <w:rPr>
          <w:rFonts w:hint="eastAsia" w:ascii="宋体" w:hAnsi="宋体" w:eastAsia="宋体" w:cs="宋体"/>
          <w:color w:val="auto"/>
          <w:spacing w:val="0"/>
          <w:kern w:val="0"/>
          <w:sz w:val="21"/>
          <w:szCs w:val="21"/>
          <w:highlight w:val="none"/>
          <w:u w:val="single"/>
          <w:lang w:val="en-US" w:eastAsia="zh-CN" w:bidi="ar"/>
        </w:rPr>
        <w:t>  </w:t>
      </w:r>
      <w:r>
        <w:rPr>
          <w:rFonts w:hint="eastAsia" w:ascii="宋体" w:hAnsi="宋体" w:eastAsia="宋体" w:cs="宋体"/>
          <w:color w:val="auto"/>
          <w:spacing w:val="0"/>
          <w:kern w:val="0"/>
          <w:sz w:val="21"/>
          <w:szCs w:val="21"/>
          <w:highlight w:val="none"/>
          <w:lang w:val="en-US" w:eastAsia="zh-CN" w:bidi="ar"/>
        </w:rPr>
        <w:t>人，营业收入为</w:t>
      </w:r>
      <w:r>
        <w:rPr>
          <w:rFonts w:hint="eastAsia" w:ascii="宋体" w:hAnsi="宋体" w:eastAsia="宋体" w:cs="宋体"/>
          <w:color w:val="auto"/>
          <w:spacing w:val="0"/>
          <w:kern w:val="0"/>
          <w:sz w:val="21"/>
          <w:szCs w:val="21"/>
          <w:highlight w:val="none"/>
          <w:u w:val="single"/>
          <w:lang w:val="en-US" w:eastAsia="zh-CN" w:bidi="ar"/>
        </w:rPr>
        <w:t>  </w:t>
      </w:r>
      <w:r>
        <w:rPr>
          <w:rFonts w:hint="eastAsia" w:ascii="宋体" w:hAnsi="宋体" w:eastAsia="宋体" w:cs="宋体"/>
          <w:color w:val="auto"/>
          <w:spacing w:val="0"/>
          <w:kern w:val="0"/>
          <w:sz w:val="21"/>
          <w:szCs w:val="21"/>
          <w:highlight w:val="none"/>
          <w:lang w:val="en-US" w:eastAsia="zh-CN" w:bidi="ar"/>
        </w:rPr>
        <w:t>万元，资产总额为</w:t>
      </w:r>
      <w:r>
        <w:rPr>
          <w:rFonts w:hint="eastAsia" w:ascii="宋体" w:hAnsi="宋体" w:eastAsia="宋体" w:cs="宋体"/>
          <w:color w:val="auto"/>
          <w:spacing w:val="0"/>
          <w:kern w:val="0"/>
          <w:sz w:val="21"/>
          <w:szCs w:val="21"/>
          <w:highlight w:val="none"/>
          <w:u w:val="single"/>
          <w:lang w:val="en-US" w:eastAsia="zh-CN" w:bidi="ar"/>
        </w:rPr>
        <w:t>  </w:t>
      </w:r>
      <w:r>
        <w:rPr>
          <w:rFonts w:hint="eastAsia" w:ascii="宋体" w:hAnsi="宋体" w:eastAsia="宋体" w:cs="宋体"/>
          <w:color w:val="auto"/>
          <w:spacing w:val="0"/>
          <w:kern w:val="0"/>
          <w:sz w:val="21"/>
          <w:szCs w:val="21"/>
          <w:highlight w:val="none"/>
          <w:lang w:val="en-US" w:eastAsia="zh-CN" w:bidi="ar"/>
        </w:rPr>
        <w:t>万元</w:t>
      </w:r>
      <w:r>
        <w:rPr>
          <w:rFonts w:hint="eastAsia" w:ascii="宋体" w:hAnsi="宋体" w:eastAsia="宋体" w:cs="宋体"/>
          <w:color w:val="auto"/>
          <w:spacing w:val="0"/>
          <w:kern w:val="0"/>
          <w:sz w:val="21"/>
          <w:szCs w:val="21"/>
          <w:highlight w:val="none"/>
          <w:vertAlign w:val="superscript"/>
          <w:lang w:val="en-US" w:eastAsia="zh-CN" w:bidi="ar"/>
        </w:rPr>
        <w:t>1</w:t>
      </w:r>
      <w:r>
        <w:rPr>
          <w:rFonts w:hint="eastAsia" w:ascii="宋体" w:hAnsi="宋体" w:eastAsia="宋体" w:cs="宋体"/>
          <w:color w:val="auto"/>
          <w:spacing w:val="0"/>
          <w:kern w:val="0"/>
          <w:sz w:val="21"/>
          <w:szCs w:val="21"/>
          <w:highlight w:val="none"/>
          <w:lang w:val="en-US" w:eastAsia="zh-CN" w:bidi="ar"/>
        </w:rPr>
        <w:t>，属于</w:t>
      </w:r>
      <w:r>
        <w:rPr>
          <w:rFonts w:hint="eastAsia" w:ascii="宋体" w:hAnsi="宋体" w:eastAsia="宋体" w:cs="宋体"/>
          <w:color w:val="auto"/>
          <w:spacing w:val="0"/>
          <w:kern w:val="0"/>
          <w:sz w:val="21"/>
          <w:szCs w:val="21"/>
          <w:highlight w:val="none"/>
          <w:u w:val="single"/>
          <w:lang w:val="en-US" w:eastAsia="zh-CN" w:bidi="ar"/>
        </w:rPr>
        <w:t>（中型企业、小型企业、微型企业</w:t>
      </w:r>
      <w:r>
        <w:rPr>
          <w:rFonts w:hint="eastAsia" w:ascii="宋体" w:hAnsi="宋体" w:eastAsia="宋体" w:cs="宋体"/>
          <w:color w:val="auto"/>
          <w:spacing w:val="0"/>
          <w:kern w:val="0"/>
          <w:sz w:val="21"/>
          <w:szCs w:val="21"/>
          <w:highlight w:val="none"/>
          <w:lang w:val="en-US" w:eastAsia="zh-CN" w:bidi="ar"/>
        </w:rPr>
        <w:t>）；</w:t>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2.</w:t>
      </w:r>
      <w:r>
        <w:rPr>
          <w:rFonts w:hint="eastAsia" w:ascii="宋体" w:hAnsi="宋体" w:eastAsia="宋体" w:cs="宋体"/>
          <w:color w:val="auto"/>
          <w:spacing w:val="0"/>
          <w:kern w:val="0"/>
          <w:sz w:val="21"/>
          <w:szCs w:val="21"/>
          <w:highlight w:val="none"/>
          <w:u w:val="single"/>
          <w:lang w:val="en-US" w:eastAsia="zh-CN" w:bidi="ar"/>
        </w:rPr>
        <w:t>（标的名称）</w:t>
      </w:r>
      <w:r>
        <w:rPr>
          <w:rFonts w:hint="eastAsia" w:ascii="宋体" w:hAnsi="宋体" w:eastAsia="宋体" w:cs="宋体"/>
          <w:color w:val="auto"/>
          <w:spacing w:val="0"/>
          <w:kern w:val="0"/>
          <w:sz w:val="21"/>
          <w:szCs w:val="21"/>
          <w:highlight w:val="none"/>
          <w:lang w:val="en-US" w:eastAsia="zh-CN" w:bidi="ar"/>
        </w:rPr>
        <w:t>，属于</w:t>
      </w:r>
      <w:r>
        <w:rPr>
          <w:rFonts w:hint="eastAsia" w:ascii="宋体" w:hAnsi="宋体" w:eastAsia="宋体" w:cs="宋体"/>
          <w:color w:val="auto"/>
          <w:spacing w:val="0"/>
          <w:kern w:val="0"/>
          <w:sz w:val="21"/>
          <w:szCs w:val="21"/>
          <w:highlight w:val="none"/>
          <w:u w:val="single"/>
          <w:lang w:val="en-US" w:eastAsia="zh-CN" w:bidi="ar"/>
        </w:rPr>
        <w:t>（采购文件中明确的所属行业）</w:t>
      </w:r>
      <w:r>
        <w:rPr>
          <w:rFonts w:hint="eastAsia" w:ascii="宋体" w:hAnsi="宋体" w:eastAsia="宋体" w:cs="宋体"/>
          <w:color w:val="auto"/>
          <w:spacing w:val="0"/>
          <w:kern w:val="0"/>
          <w:sz w:val="21"/>
          <w:szCs w:val="21"/>
          <w:highlight w:val="none"/>
          <w:lang w:val="en-US" w:eastAsia="zh-CN" w:bidi="ar"/>
        </w:rPr>
        <w:t>行业；制造商为</w:t>
      </w:r>
      <w:r>
        <w:rPr>
          <w:rFonts w:hint="eastAsia" w:ascii="宋体" w:hAnsi="宋体" w:eastAsia="宋体" w:cs="宋体"/>
          <w:color w:val="auto"/>
          <w:spacing w:val="0"/>
          <w:kern w:val="0"/>
          <w:sz w:val="21"/>
          <w:szCs w:val="21"/>
          <w:highlight w:val="none"/>
          <w:u w:val="single"/>
          <w:lang w:val="en-US" w:eastAsia="zh-CN" w:bidi="ar"/>
        </w:rPr>
        <w:t>（企业名称）</w:t>
      </w:r>
      <w:r>
        <w:rPr>
          <w:rFonts w:hint="eastAsia" w:ascii="宋体" w:hAnsi="宋体" w:eastAsia="宋体" w:cs="宋体"/>
          <w:color w:val="auto"/>
          <w:spacing w:val="0"/>
          <w:kern w:val="0"/>
          <w:sz w:val="21"/>
          <w:szCs w:val="21"/>
          <w:highlight w:val="none"/>
          <w:lang w:val="en-US" w:eastAsia="zh-CN" w:bidi="ar"/>
        </w:rPr>
        <w:t>，从业人员</w:t>
      </w:r>
      <w:r>
        <w:rPr>
          <w:rFonts w:hint="eastAsia" w:ascii="宋体" w:hAnsi="宋体" w:eastAsia="宋体" w:cs="宋体"/>
          <w:color w:val="auto"/>
          <w:spacing w:val="0"/>
          <w:kern w:val="0"/>
          <w:sz w:val="21"/>
          <w:szCs w:val="21"/>
          <w:highlight w:val="none"/>
          <w:u w:val="single"/>
          <w:lang w:val="en-US" w:eastAsia="zh-CN" w:bidi="ar"/>
        </w:rPr>
        <w:t>  </w:t>
      </w:r>
      <w:r>
        <w:rPr>
          <w:rFonts w:hint="eastAsia" w:ascii="宋体" w:hAnsi="宋体" w:eastAsia="宋体" w:cs="宋体"/>
          <w:color w:val="auto"/>
          <w:spacing w:val="0"/>
          <w:kern w:val="0"/>
          <w:sz w:val="21"/>
          <w:szCs w:val="21"/>
          <w:highlight w:val="none"/>
          <w:lang w:val="en-US" w:eastAsia="zh-CN" w:bidi="ar"/>
        </w:rPr>
        <w:t>人，营业收入为</w:t>
      </w:r>
      <w:r>
        <w:rPr>
          <w:rFonts w:hint="eastAsia" w:ascii="宋体" w:hAnsi="宋体" w:eastAsia="宋体" w:cs="宋体"/>
          <w:color w:val="auto"/>
          <w:spacing w:val="0"/>
          <w:kern w:val="0"/>
          <w:sz w:val="21"/>
          <w:szCs w:val="21"/>
          <w:highlight w:val="none"/>
          <w:u w:val="single"/>
          <w:lang w:val="en-US" w:eastAsia="zh-CN" w:bidi="ar"/>
        </w:rPr>
        <w:t>  </w:t>
      </w:r>
      <w:r>
        <w:rPr>
          <w:rFonts w:hint="eastAsia" w:ascii="宋体" w:hAnsi="宋体" w:eastAsia="宋体" w:cs="宋体"/>
          <w:color w:val="auto"/>
          <w:spacing w:val="0"/>
          <w:kern w:val="0"/>
          <w:sz w:val="21"/>
          <w:szCs w:val="21"/>
          <w:highlight w:val="none"/>
          <w:lang w:val="en-US" w:eastAsia="zh-CN" w:bidi="ar"/>
        </w:rPr>
        <w:t>万元，资产总额为</w:t>
      </w:r>
      <w:r>
        <w:rPr>
          <w:rFonts w:hint="eastAsia" w:ascii="宋体" w:hAnsi="宋体" w:eastAsia="宋体" w:cs="宋体"/>
          <w:color w:val="auto"/>
          <w:spacing w:val="0"/>
          <w:kern w:val="0"/>
          <w:sz w:val="21"/>
          <w:szCs w:val="21"/>
          <w:highlight w:val="none"/>
          <w:u w:val="single"/>
          <w:lang w:val="en-US" w:eastAsia="zh-CN" w:bidi="ar"/>
        </w:rPr>
        <w:t>  </w:t>
      </w:r>
      <w:r>
        <w:rPr>
          <w:rFonts w:hint="eastAsia" w:ascii="宋体" w:hAnsi="宋体" w:eastAsia="宋体" w:cs="宋体"/>
          <w:color w:val="auto"/>
          <w:spacing w:val="0"/>
          <w:kern w:val="0"/>
          <w:sz w:val="21"/>
          <w:szCs w:val="21"/>
          <w:highlight w:val="none"/>
          <w:lang w:val="en-US" w:eastAsia="zh-CN" w:bidi="ar"/>
        </w:rPr>
        <w:t>万元</w:t>
      </w:r>
      <w:r>
        <w:rPr>
          <w:rFonts w:hint="eastAsia" w:ascii="宋体" w:hAnsi="宋体" w:eastAsia="宋体" w:cs="宋体"/>
          <w:color w:val="auto"/>
          <w:spacing w:val="0"/>
          <w:kern w:val="0"/>
          <w:sz w:val="21"/>
          <w:szCs w:val="21"/>
          <w:highlight w:val="none"/>
          <w:vertAlign w:val="superscript"/>
          <w:lang w:val="en-US" w:eastAsia="zh-CN" w:bidi="ar"/>
        </w:rPr>
        <w:t>1</w:t>
      </w:r>
      <w:r>
        <w:rPr>
          <w:rFonts w:hint="eastAsia" w:ascii="宋体" w:hAnsi="宋体" w:eastAsia="宋体" w:cs="宋体"/>
          <w:color w:val="auto"/>
          <w:spacing w:val="0"/>
          <w:kern w:val="0"/>
          <w:sz w:val="21"/>
          <w:szCs w:val="21"/>
          <w:highlight w:val="none"/>
          <w:lang w:val="en-US" w:eastAsia="zh-CN" w:bidi="ar"/>
        </w:rPr>
        <w:t>，属于</w:t>
      </w:r>
      <w:r>
        <w:rPr>
          <w:rFonts w:hint="eastAsia" w:ascii="宋体" w:hAnsi="宋体" w:eastAsia="宋体" w:cs="宋体"/>
          <w:color w:val="auto"/>
          <w:spacing w:val="0"/>
          <w:kern w:val="0"/>
          <w:sz w:val="21"/>
          <w:szCs w:val="21"/>
          <w:highlight w:val="none"/>
          <w:u w:val="single"/>
          <w:lang w:val="en-US" w:eastAsia="zh-CN" w:bidi="ar"/>
        </w:rPr>
        <w:t>（中型企业、小型企业、微型企业</w:t>
      </w:r>
      <w:r>
        <w:rPr>
          <w:rFonts w:hint="eastAsia" w:ascii="宋体" w:hAnsi="宋体" w:eastAsia="宋体" w:cs="宋体"/>
          <w:color w:val="auto"/>
          <w:spacing w:val="0"/>
          <w:kern w:val="0"/>
          <w:sz w:val="21"/>
          <w:szCs w:val="21"/>
          <w:highlight w:val="none"/>
          <w:lang w:val="en-US" w:eastAsia="zh-CN" w:bidi="ar"/>
        </w:rPr>
        <w:t>）；</w:t>
      </w:r>
      <w:r>
        <w:rPr>
          <w:rFonts w:ascii="Times New Roman" w:hAnsi="Times New Roman" w:eastAsia="宋体" w:cs="Times New Roman"/>
          <w:color w:val="auto"/>
          <w:spacing w:val="0"/>
          <w:kern w:val="0"/>
          <w:sz w:val="24"/>
          <w:szCs w:val="24"/>
          <w:highlight w:val="none"/>
          <w:lang w:val="en-US" w:eastAsia="zh-CN" w:bidi="ar"/>
        </w:rPr>
        <w:br w:type="textWrapping"/>
      </w:r>
      <w:r>
        <w:rPr>
          <w:rFonts w:ascii="Times New Roman" w:hAnsi="Times New Roman" w:eastAsia="宋体" w:cs="Times New Roman"/>
          <w:color w:val="auto"/>
          <w:spacing w:val="0"/>
          <w:kern w:val="0"/>
          <w:sz w:val="24"/>
          <w:szCs w:val="24"/>
          <w:highlight w:val="none"/>
          <w:lang w:val="en-US" w:eastAsia="zh-CN" w:bidi="ar"/>
        </w:rPr>
        <w:t>  </w:t>
      </w:r>
      <w:r>
        <w:rPr>
          <w:rFonts w:ascii="Times New Roman" w:hAnsi="Times New Roman" w:eastAsia="宋体" w:cs="Times New Roman"/>
          <w:color w:val="auto"/>
          <w:spacing w:val="0"/>
          <w:kern w:val="0"/>
          <w:sz w:val="24"/>
          <w:szCs w:val="24"/>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w:t>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以上企业，不属于大企业的分支机构，不存在控股股东为大企业的情形，也不存在与大企业的负责人为同一人的情形。</w:t>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本企业对上述声明内容的真实性负责。如有虚假，将依法承担相应责任。</w:t>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企业名称（盖章）：        </w:t>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日期：</w:t>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从业人员、营业收入、资产总额填报上一年度数据，无上一年度数据的新成立企业可不填报。</w:t>
      </w:r>
      <w:r>
        <w:rPr>
          <w:rFonts w:ascii="Times New Roman" w:hAnsi="Times New Roman" w:eastAsia="宋体" w:cs="Times New Roman"/>
          <w:color w:val="auto"/>
          <w:spacing w:val="0"/>
          <w:kern w:val="0"/>
          <w:sz w:val="24"/>
          <w:szCs w:val="24"/>
          <w:highlight w:val="none"/>
          <w:lang w:val="en-US" w:eastAsia="zh-CN" w:bidi="ar"/>
        </w:rPr>
        <w:br w:type="textWrapping"/>
      </w:r>
      <w:r>
        <w:rPr>
          <w:rFonts w:ascii="Times New Roman" w:hAnsi="Times New Roman" w:eastAsia="宋体" w:cs="Times New Roman"/>
          <w:color w:val="auto"/>
          <w:spacing w:val="0"/>
          <w:kern w:val="0"/>
          <w:sz w:val="24"/>
          <w:szCs w:val="24"/>
          <w:highlight w:val="none"/>
          <w:lang w:val="en-US" w:eastAsia="zh-CN" w:bidi="ar"/>
        </w:rPr>
        <w:br w:type="textWrapping"/>
      </w:r>
      <w:r>
        <w:rPr>
          <w:rFonts w:ascii="Times New Roman" w:hAnsi="Times New Roman" w:eastAsia="宋体" w:cs="Times New Roman"/>
          <w:color w:val="auto"/>
          <w:spacing w:val="0"/>
          <w:kern w:val="0"/>
          <w:sz w:val="24"/>
          <w:szCs w:val="24"/>
          <w:highlight w:val="none"/>
          <w:lang w:val="en-US" w:eastAsia="zh-CN" w:bidi="ar"/>
        </w:rPr>
        <w:br w:type="textWrapping"/>
      </w:r>
      <w:r>
        <w:rPr>
          <w:rFonts w:ascii="Times New Roman" w:hAnsi="Times New Roman" w:eastAsia="宋体" w:cs="Times New Roman"/>
          <w:color w:val="auto"/>
          <w:spacing w:val="0"/>
          <w:kern w:val="0"/>
          <w:sz w:val="24"/>
          <w:szCs w:val="24"/>
          <w:highlight w:val="none"/>
          <w:lang w:val="en-US" w:eastAsia="zh-CN" w:bidi="ar"/>
        </w:rPr>
        <w:t xml:space="preserve">                                          </w:t>
      </w:r>
    </w:p>
    <w:p>
      <w:pPr>
        <w:keepNext w:val="0"/>
        <w:keepLines w:val="0"/>
        <w:widowControl/>
        <w:suppressLineNumbers w:val="0"/>
        <w:spacing w:before="75" w:beforeAutospacing="0" w:after="75" w:afterAutospacing="0"/>
        <w:ind w:left="0" w:right="0" w:firstLine="2880"/>
        <w:jc w:val="left"/>
        <w:rPr>
          <w:rFonts w:ascii="Times New Roman" w:hAnsi="Times New Roman" w:eastAsia="宋体" w:cs="Times New Roman"/>
          <w:color w:val="auto"/>
          <w:spacing w:val="0"/>
          <w:kern w:val="0"/>
          <w:sz w:val="24"/>
          <w:szCs w:val="24"/>
          <w:highlight w:val="none"/>
          <w:lang w:val="en-US" w:eastAsia="zh-CN" w:bidi="ar"/>
        </w:rPr>
      </w:pPr>
    </w:p>
    <w:p>
      <w:pPr>
        <w:keepNext w:val="0"/>
        <w:keepLines w:val="0"/>
        <w:widowControl/>
        <w:suppressLineNumbers w:val="0"/>
        <w:spacing w:before="75" w:beforeAutospacing="0" w:after="75" w:afterAutospacing="0"/>
        <w:ind w:left="0" w:right="0" w:firstLine="2880"/>
        <w:jc w:val="left"/>
        <w:rPr>
          <w:rFonts w:ascii="Times New Roman" w:hAnsi="Times New Roman" w:eastAsia="宋体" w:cs="Times New Roman"/>
          <w:b/>
          <w:bCs/>
          <w:color w:val="auto"/>
          <w:spacing w:val="0"/>
          <w:kern w:val="0"/>
          <w:sz w:val="24"/>
          <w:szCs w:val="24"/>
          <w:highlight w:val="none"/>
          <w:lang w:val="en-US" w:eastAsia="zh-CN" w:bidi="ar"/>
        </w:rPr>
      </w:pPr>
      <w:r>
        <w:rPr>
          <w:rFonts w:ascii="Times New Roman" w:hAnsi="Times New Roman" w:eastAsia="宋体" w:cs="Times New Roman"/>
          <w:b/>
          <w:bCs/>
          <w:color w:val="auto"/>
          <w:spacing w:val="0"/>
          <w:kern w:val="0"/>
          <w:sz w:val="24"/>
          <w:szCs w:val="24"/>
          <w:highlight w:val="none"/>
          <w:lang w:val="en-US" w:eastAsia="zh-CN" w:bidi="ar"/>
        </w:rPr>
        <w:t>  </w:t>
      </w:r>
    </w:p>
    <w:p>
      <w:pPr>
        <w:keepNext w:val="0"/>
        <w:keepLines w:val="0"/>
        <w:widowControl/>
        <w:suppressLineNumbers w:val="0"/>
        <w:spacing w:before="75" w:beforeAutospacing="0" w:after="75" w:afterAutospacing="0"/>
        <w:ind w:left="0" w:right="0" w:firstLine="2880"/>
        <w:jc w:val="left"/>
        <w:rPr>
          <w:rFonts w:ascii="Times New Roman" w:hAnsi="Times New Roman" w:eastAsia="宋体" w:cs="Times New Roman"/>
          <w:b/>
          <w:bCs/>
          <w:color w:val="auto"/>
          <w:spacing w:val="0"/>
          <w:kern w:val="0"/>
          <w:sz w:val="24"/>
          <w:szCs w:val="24"/>
          <w:highlight w:val="none"/>
          <w:lang w:val="en-US" w:eastAsia="zh-CN" w:bidi="ar"/>
        </w:rPr>
      </w:pPr>
      <w:r>
        <w:rPr>
          <w:rFonts w:ascii="Times New Roman" w:hAnsi="Times New Roman" w:eastAsia="宋体" w:cs="Times New Roman"/>
          <w:b/>
          <w:bCs/>
          <w:color w:val="auto"/>
          <w:spacing w:val="0"/>
          <w:kern w:val="0"/>
          <w:sz w:val="24"/>
          <w:szCs w:val="24"/>
          <w:highlight w:val="none"/>
          <w:lang w:val="en-US" w:eastAsia="zh-CN" w:bidi="ar"/>
        </w:rPr>
        <w:br w:type="page"/>
      </w:r>
    </w:p>
    <w:p>
      <w:pPr>
        <w:keepNext w:val="0"/>
        <w:keepLines w:val="0"/>
        <w:widowControl/>
        <w:suppressLineNumbers w:val="0"/>
        <w:spacing w:before="75" w:beforeAutospacing="0" w:after="75" w:afterAutospacing="0"/>
        <w:ind w:left="0" w:right="0" w:firstLine="2880"/>
        <w:jc w:val="left"/>
        <w:rPr>
          <w:rFonts w:ascii="Times New Roman" w:hAnsi="Times New Roman" w:eastAsia="宋体" w:cs="Times New Roman"/>
          <w:b/>
          <w:bCs/>
          <w:color w:val="auto"/>
          <w:spacing w:val="0"/>
          <w:kern w:val="0"/>
          <w:sz w:val="24"/>
          <w:szCs w:val="24"/>
          <w:highlight w:val="none"/>
          <w:lang w:val="en-US" w:eastAsia="zh-CN" w:bidi="ar"/>
        </w:rPr>
      </w:pPr>
    </w:p>
    <w:p>
      <w:pPr>
        <w:keepNext w:val="0"/>
        <w:keepLines w:val="0"/>
        <w:widowControl/>
        <w:suppressLineNumbers w:val="0"/>
        <w:spacing w:before="75" w:beforeAutospacing="0" w:after="75" w:afterAutospacing="0"/>
        <w:ind w:left="0" w:right="0" w:firstLine="2880"/>
        <w:jc w:val="left"/>
        <w:rPr>
          <w:rFonts w:hint="eastAsia" w:ascii="宋体" w:hAnsi="宋体" w:eastAsia="宋体" w:cs="宋体"/>
          <w:b/>
          <w:bCs/>
          <w:color w:val="auto"/>
          <w:spacing w:val="0"/>
          <w:kern w:val="0"/>
          <w:sz w:val="21"/>
          <w:szCs w:val="21"/>
          <w:highlight w:val="none"/>
          <w:lang w:val="en-US" w:eastAsia="zh-CN" w:bidi="ar"/>
        </w:rPr>
      </w:pPr>
      <w:r>
        <w:rPr>
          <w:rFonts w:hint="eastAsia" w:ascii="宋体" w:hAnsi="宋体" w:eastAsia="宋体" w:cs="宋体"/>
          <w:b/>
          <w:bCs/>
          <w:color w:val="auto"/>
          <w:spacing w:val="0"/>
          <w:kern w:val="0"/>
          <w:sz w:val="21"/>
          <w:szCs w:val="21"/>
          <w:highlight w:val="none"/>
          <w:lang w:val="en-US" w:eastAsia="zh-CN" w:bidi="ar"/>
        </w:rPr>
        <w:t>中小企业声明函（工程、服务）</w:t>
      </w:r>
    </w:p>
    <w:p>
      <w:pPr>
        <w:keepNext w:val="0"/>
        <w:keepLines w:val="0"/>
        <w:widowControl/>
        <w:suppressLineNumbers w:val="0"/>
        <w:spacing w:before="75" w:beforeAutospacing="0" w:after="75" w:afterAutospacing="0"/>
        <w:ind w:left="0" w:right="0" w:firstLine="2880"/>
        <w:jc w:val="left"/>
        <w:rPr>
          <w:rFonts w:ascii="Times New Roman" w:hAnsi="Times New Roman" w:eastAsia="宋体" w:cs="Times New Roman"/>
          <w:color w:val="auto"/>
          <w:kern w:val="0"/>
          <w:sz w:val="24"/>
          <w:szCs w:val="24"/>
          <w:highlight w:val="none"/>
          <w:lang w:val="en-US" w:eastAsia="zh-CN" w:bidi="ar"/>
        </w:rPr>
      </w:pPr>
      <w:r>
        <w:rPr>
          <w:rFonts w:hint="eastAsia" w:ascii="宋体" w:hAnsi="宋体" w:eastAsia="宋体" w:cs="宋体"/>
          <w:b/>
          <w:bCs/>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本公司（联合体）郑重声明，根据《政府采购促进中小企业发展管理办法》（财库﹝2020﹞46 号）的规定，本公司（联合体）参加</w:t>
      </w:r>
      <w:r>
        <w:rPr>
          <w:rFonts w:hint="eastAsia" w:ascii="宋体" w:hAnsi="宋体" w:eastAsia="宋体" w:cs="宋体"/>
          <w:color w:val="auto"/>
          <w:spacing w:val="0"/>
          <w:kern w:val="0"/>
          <w:sz w:val="21"/>
          <w:szCs w:val="21"/>
          <w:highlight w:val="none"/>
          <w:u w:val="single"/>
          <w:lang w:val="en-US" w:eastAsia="zh-CN" w:bidi="ar"/>
        </w:rPr>
        <w:t>（单位名称）</w:t>
      </w:r>
      <w:r>
        <w:rPr>
          <w:rFonts w:hint="eastAsia" w:ascii="宋体" w:hAnsi="宋体" w:eastAsia="宋体" w:cs="宋体"/>
          <w:color w:val="auto"/>
          <w:spacing w:val="0"/>
          <w:kern w:val="0"/>
          <w:sz w:val="21"/>
          <w:szCs w:val="21"/>
          <w:highlight w:val="none"/>
          <w:lang w:val="en-US" w:eastAsia="zh-CN" w:bidi="ar"/>
        </w:rPr>
        <w:t>的</w:t>
      </w:r>
      <w:r>
        <w:rPr>
          <w:rFonts w:hint="eastAsia" w:ascii="宋体" w:hAnsi="宋体" w:eastAsia="宋体" w:cs="宋体"/>
          <w:color w:val="auto"/>
          <w:spacing w:val="0"/>
          <w:kern w:val="0"/>
          <w:sz w:val="21"/>
          <w:szCs w:val="21"/>
          <w:highlight w:val="none"/>
          <w:u w:val="single"/>
          <w:lang w:val="en-US" w:eastAsia="zh-CN" w:bidi="ar"/>
        </w:rPr>
        <w:t>（项目名称）</w:t>
      </w:r>
      <w:r>
        <w:rPr>
          <w:rFonts w:hint="eastAsia" w:ascii="宋体" w:hAnsi="宋体" w:eastAsia="宋体" w:cs="宋体"/>
          <w:color w:val="auto"/>
          <w:spacing w:val="0"/>
          <w:kern w:val="0"/>
          <w:sz w:val="21"/>
          <w:szCs w:val="21"/>
          <w:highlight w:val="none"/>
          <w:lang w:val="en-US" w:eastAsia="zh-CN" w:bidi="ar"/>
        </w:rPr>
        <w:t>采购活动，</w:t>
      </w:r>
      <w:r>
        <w:rPr>
          <w:rFonts w:hint="eastAsia" w:ascii="宋体" w:hAnsi="宋体" w:eastAsia="宋体" w:cs="宋体"/>
          <w:b/>
          <w:bCs/>
          <w:color w:val="auto"/>
          <w:spacing w:val="0"/>
          <w:kern w:val="0"/>
          <w:sz w:val="21"/>
          <w:szCs w:val="21"/>
          <w:highlight w:val="none"/>
          <w:lang w:val="en-US" w:eastAsia="zh-CN" w:bidi="ar"/>
        </w:rPr>
        <w:t>工程的施工单位全部为符合政策要求的中小企业</w:t>
      </w:r>
      <w:r>
        <w:rPr>
          <w:rFonts w:hint="eastAsia" w:ascii="宋体" w:hAnsi="宋体" w:eastAsia="宋体" w:cs="宋体"/>
          <w:color w:val="auto"/>
          <w:spacing w:val="0"/>
          <w:kern w:val="0"/>
          <w:sz w:val="21"/>
          <w:szCs w:val="21"/>
          <w:highlight w:val="none"/>
          <w:lang w:val="en-US" w:eastAsia="zh-CN" w:bidi="ar"/>
        </w:rPr>
        <w:t>（或者：</w:t>
      </w:r>
      <w:r>
        <w:rPr>
          <w:rFonts w:hint="eastAsia" w:ascii="宋体" w:hAnsi="宋体" w:eastAsia="宋体" w:cs="宋体"/>
          <w:b/>
          <w:bCs/>
          <w:color w:val="auto"/>
          <w:spacing w:val="0"/>
          <w:kern w:val="0"/>
          <w:sz w:val="21"/>
          <w:szCs w:val="21"/>
          <w:highlight w:val="none"/>
          <w:lang w:val="en-US" w:eastAsia="zh-CN" w:bidi="ar"/>
        </w:rPr>
        <w:t>服务全部由符合政策要求的中小企业承接</w:t>
      </w:r>
      <w:r>
        <w:rPr>
          <w:rFonts w:hint="eastAsia" w:ascii="宋体" w:hAnsi="宋体" w:eastAsia="宋体" w:cs="宋体"/>
          <w:color w:val="auto"/>
          <w:spacing w:val="0"/>
          <w:kern w:val="0"/>
          <w:sz w:val="21"/>
          <w:szCs w:val="21"/>
          <w:highlight w:val="none"/>
          <w:lang w:val="en-US" w:eastAsia="zh-CN" w:bidi="ar"/>
        </w:rPr>
        <w:t>）。相关企业（含联合体中的中小企业、签订分包意向协议的中小企业）的具体情况如下：</w:t>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1.</w:t>
      </w:r>
      <w:r>
        <w:rPr>
          <w:rFonts w:hint="eastAsia" w:ascii="宋体" w:hAnsi="宋体" w:eastAsia="宋体" w:cs="宋体"/>
          <w:color w:val="auto"/>
          <w:spacing w:val="0"/>
          <w:kern w:val="0"/>
          <w:sz w:val="21"/>
          <w:szCs w:val="21"/>
          <w:highlight w:val="none"/>
          <w:u w:val="single"/>
          <w:lang w:val="en-US" w:eastAsia="zh-CN" w:bidi="ar"/>
        </w:rPr>
        <w:t>（标的名称）</w:t>
      </w:r>
      <w:r>
        <w:rPr>
          <w:rFonts w:hint="eastAsia" w:ascii="宋体" w:hAnsi="宋体" w:eastAsia="宋体" w:cs="宋体"/>
          <w:color w:val="auto"/>
          <w:spacing w:val="0"/>
          <w:kern w:val="0"/>
          <w:sz w:val="21"/>
          <w:szCs w:val="21"/>
          <w:highlight w:val="none"/>
          <w:lang w:val="en-US" w:eastAsia="zh-CN" w:bidi="ar"/>
        </w:rPr>
        <w:t>，属于</w:t>
      </w:r>
      <w:r>
        <w:rPr>
          <w:rFonts w:hint="eastAsia" w:ascii="宋体" w:hAnsi="宋体" w:eastAsia="宋体" w:cs="宋体"/>
          <w:color w:val="auto"/>
          <w:spacing w:val="0"/>
          <w:kern w:val="0"/>
          <w:sz w:val="21"/>
          <w:szCs w:val="21"/>
          <w:highlight w:val="none"/>
          <w:u w:val="single"/>
          <w:lang w:val="en-US" w:eastAsia="zh-CN" w:bidi="ar"/>
        </w:rPr>
        <w:t>（采购文件中明确的所属行业）</w:t>
      </w:r>
      <w:r>
        <w:rPr>
          <w:rFonts w:hint="eastAsia" w:ascii="宋体" w:hAnsi="宋体" w:eastAsia="宋体" w:cs="宋体"/>
          <w:color w:val="auto"/>
          <w:spacing w:val="0"/>
          <w:kern w:val="0"/>
          <w:sz w:val="21"/>
          <w:szCs w:val="21"/>
          <w:highlight w:val="none"/>
          <w:lang w:val="en-US" w:eastAsia="zh-CN" w:bidi="ar"/>
        </w:rPr>
        <w:t>；承建（承接）企业为</w:t>
      </w:r>
      <w:r>
        <w:rPr>
          <w:rFonts w:hint="eastAsia" w:ascii="宋体" w:hAnsi="宋体" w:eastAsia="宋体" w:cs="宋体"/>
          <w:color w:val="auto"/>
          <w:spacing w:val="0"/>
          <w:kern w:val="0"/>
          <w:sz w:val="21"/>
          <w:szCs w:val="21"/>
          <w:highlight w:val="none"/>
          <w:u w:val="single"/>
          <w:lang w:val="en-US" w:eastAsia="zh-CN" w:bidi="ar"/>
        </w:rPr>
        <w:t>（企业名称）</w:t>
      </w:r>
      <w:r>
        <w:rPr>
          <w:rFonts w:hint="eastAsia" w:ascii="宋体" w:hAnsi="宋体" w:eastAsia="宋体" w:cs="宋体"/>
          <w:color w:val="auto"/>
          <w:spacing w:val="0"/>
          <w:kern w:val="0"/>
          <w:sz w:val="21"/>
          <w:szCs w:val="21"/>
          <w:highlight w:val="none"/>
          <w:lang w:val="en-US" w:eastAsia="zh-CN" w:bidi="ar"/>
        </w:rPr>
        <w:t>，从业人员</w:t>
      </w:r>
      <w:r>
        <w:rPr>
          <w:rFonts w:hint="eastAsia" w:ascii="宋体" w:hAnsi="宋体" w:eastAsia="宋体" w:cs="宋体"/>
          <w:color w:val="auto"/>
          <w:spacing w:val="0"/>
          <w:kern w:val="0"/>
          <w:sz w:val="21"/>
          <w:szCs w:val="21"/>
          <w:highlight w:val="none"/>
          <w:u w:val="single"/>
          <w:lang w:val="en-US" w:eastAsia="zh-CN" w:bidi="ar"/>
        </w:rPr>
        <w:t>  </w:t>
      </w:r>
      <w:r>
        <w:rPr>
          <w:rFonts w:hint="eastAsia" w:ascii="宋体" w:hAnsi="宋体" w:eastAsia="宋体" w:cs="宋体"/>
          <w:color w:val="auto"/>
          <w:spacing w:val="0"/>
          <w:kern w:val="0"/>
          <w:sz w:val="21"/>
          <w:szCs w:val="21"/>
          <w:highlight w:val="none"/>
          <w:lang w:val="en-US" w:eastAsia="zh-CN" w:bidi="ar"/>
        </w:rPr>
        <w:t>人，营业收入为</w:t>
      </w:r>
      <w:r>
        <w:rPr>
          <w:rFonts w:hint="eastAsia" w:ascii="宋体" w:hAnsi="宋体" w:eastAsia="宋体" w:cs="宋体"/>
          <w:color w:val="auto"/>
          <w:spacing w:val="0"/>
          <w:kern w:val="0"/>
          <w:sz w:val="21"/>
          <w:szCs w:val="21"/>
          <w:highlight w:val="none"/>
          <w:u w:val="single"/>
          <w:lang w:val="en-US" w:eastAsia="zh-CN" w:bidi="ar"/>
        </w:rPr>
        <w:t>  </w:t>
      </w:r>
      <w:r>
        <w:rPr>
          <w:rFonts w:hint="eastAsia" w:ascii="宋体" w:hAnsi="宋体" w:eastAsia="宋体" w:cs="宋体"/>
          <w:color w:val="auto"/>
          <w:spacing w:val="0"/>
          <w:kern w:val="0"/>
          <w:sz w:val="21"/>
          <w:szCs w:val="21"/>
          <w:highlight w:val="none"/>
          <w:lang w:val="en-US" w:eastAsia="zh-CN" w:bidi="ar"/>
        </w:rPr>
        <w:t>万元，资产总额为</w:t>
      </w:r>
      <w:r>
        <w:rPr>
          <w:rFonts w:hint="eastAsia" w:ascii="宋体" w:hAnsi="宋体" w:eastAsia="宋体" w:cs="宋体"/>
          <w:color w:val="auto"/>
          <w:spacing w:val="0"/>
          <w:kern w:val="0"/>
          <w:sz w:val="21"/>
          <w:szCs w:val="21"/>
          <w:highlight w:val="none"/>
          <w:u w:val="single"/>
          <w:lang w:val="en-US" w:eastAsia="zh-CN" w:bidi="ar"/>
        </w:rPr>
        <w:t>  </w:t>
      </w:r>
      <w:r>
        <w:rPr>
          <w:rFonts w:hint="eastAsia" w:ascii="宋体" w:hAnsi="宋体" w:eastAsia="宋体" w:cs="宋体"/>
          <w:color w:val="auto"/>
          <w:spacing w:val="0"/>
          <w:kern w:val="0"/>
          <w:sz w:val="21"/>
          <w:szCs w:val="21"/>
          <w:highlight w:val="none"/>
          <w:lang w:val="en-US" w:eastAsia="zh-CN" w:bidi="ar"/>
        </w:rPr>
        <w:t>万元</w:t>
      </w:r>
      <w:r>
        <w:rPr>
          <w:rFonts w:hint="eastAsia" w:ascii="宋体" w:hAnsi="宋体" w:eastAsia="宋体" w:cs="宋体"/>
          <w:color w:val="auto"/>
          <w:spacing w:val="0"/>
          <w:kern w:val="0"/>
          <w:sz w:val="21"/>
          <w:szCs w:val="21"/>
          <w:highlight w:val="none"/>
          <w:vertAlign w:val="superscript"/>
          <w:lang w:val="en-US" w:eastAsia="zh-CN" w:bidi="ar"/>
        </w:rPr>
        <w:t>1</w:t>
      </w:r>
      <w:r>
        <w:rPr>
          <w:rFonts w:hint="eastAsia" w:ascii="宋体" w:hAnsi="宋体" w:eastAsia="宋体" w:cs="宋体"/>
          <w:color w:val="auto"/>
          <w:spacing w:val="0"/>
          <w:kern w:val="0"/>
          <w:sz w:val="21"/>
          <w:szCs w:val="21"/>
          <w:highlight w:val="none"/>
          <w:lang w:val="en-US" w:eastAsia="zh-CN" w:bidi="ar"/>
        </w:rPr>
        <w:t>，属于</w:t>
      </w:r>
      <w:r>
        <w:rPr>
          <w:rFonts w:hint="eastAsia" w:ascii="宋体" w:hAnsi="宋体" w:eastAsia="宋体" w:cs="宋体"/>
          <w:color w:val="auto"/>
          <w:spacing w:val="0"/>
          <w:kern w:val="0"/>
          <w:sz w:val="21"/>
          <w:szCs w:val="21"/>
          <w:highlight w:val="none"/>
          <w:u w:val="single"/>
          <w:lang w:val="en-US" w:eastAsia="zh-CN" w:bidi="ar"/>
        </w:rPr>
        <w:t>（中型企业、小型企业、微型企业</w:t>
      </w:r>
      <w:r>
        <w:rPr>
          <w:rFonts w:hint="eastAsia" w:ascii="宋体" w:hAnsi="宋体" w:eastAsia="宋体" w:cs="宋体"/>
          <w:color w:val="auto"/>
          <w:spacing w:val="0"/>
          <w:kern w:val="0"/>
          <w:sz w:val="21"/>
          <w:szCs w:val="21"/>
          <w:highlight w:val="none"/>
          <w:lang w:val="en-US" w:eastAsia="zh-CN" w:bidi="ar"/>
        </w:rPr>
        <w:t>）；</w:t>
      </w:r>
    </w:p>
    <w:p>
      <w:pPr>
        <w:keepNext w:val="0"/>
        <w:keepLines w:val="0"/>
        <w:widowControl/>
        <w:numPr>
          <w:ilvl w:val="0"/>
          <w:numId w:val="0"/>
        </w:numPr>
        <w:suppressLineNumbers w:val="0"/>
        <w:spacing w:before="75" w:beforeAutospacing="0" w:after="75" w:afterAutospacing="0"/>
        <w:ind w:left="0" w:right="0" w:rightChars="0" w:firstLine="630" w:firstLineChars="300"/>
        <w:jc w:val="left"/>
        <w:rPr>
          <w:rFonts w:hint="eastAsia" w:ascii="宋体" w:hAnsi="宋体" w:eastAsia="宋体" w:cs="宋体"/>
          <w:color w:val="auto"/>
          <w:spacing w:val="0"/>
          <w:kern w:val="0"/>
          <w:sz w:val="21"/>
          <w:szCs w:val="21"/>
          <w:highlight w:val="none"/>
          <w:lang w:val="en-US" w:eastAsia="zh-CN" w:bidi="ar"/>
        </w:rPr>
      </w:pPr>
      <w:r>
        <w:rPr>
          <w:rFonts w:hint="eastAsia" w:ascii="宋体" w:hAnsi="宋体" w:eastAsia="宋体" w:cs="宋体"/>
          <w:color w:val="auto"/>
          <w:spacing w:val="0"/>
          <w:kern w:val="0"/>
          <w:sz w:val="21"/>
          <w:szCs w:val="21"/>
          <w:highlight w:val="none"/>
          <w:u w:val="single"/>
          <w:lang w:val="en-US" w:eastAsia="zh-CN" w:bidi="ar"/>
        </w:rPr>
        <w:t>2.（标的名称）</w:t>
      </w:r>
      <w:r>
        <w:rPr>
          <w:rFonts w:hint="eastAsia" w:ascii="宋体" w:hAnsi="宋体" w:eastAsia="宋体" w:cs="宋体"/>
          <w:color w:val="auto"/>
          <w:spacing w:val="0"/>
          <w:kern w:val="0"/>
          <w:sz w:val="21"/>
          <w:szCs w:val="21"/>
          <w:highlight w:val="none"/>
          <w:lang w:val="en-US" w:eastAsia="zh-CN" w:bidi="ar"/>
        </w:rPr>
        <w:t>，属于</w:t>
      </w:r>
      <w:r>
        <w:rPr>
          <w:rFonts w:hint="eastAsia" w:ascii="宋体" w:hAnsi="宋体" w:eastAsia="宋体" w:cs="宋体"/>
          <w:color w:val="auto"/>
          <w:spacing w:val="0"/>
          <w:kern w:val="0"/>
          <w:sz w:val="21"/>
          <w:szCs w:val="21"/>
          <w:highlight w:val="none"/>
          <w:u w:val="single"/>
          <w:lang w:val="en-US" w:eastAsia="zh-CN" w:bidi="ar"/>
        </w:rPr>
        <w:t>（采购文件中明确的所属行业）</w:t>
      </w:r>
      <w:r>
        <w:rPr>
          <w:rFonts w:hint="eastAsia" w:ascii="宋体" w:hAnsi="宋体" w:eastAsia="宋体" w:cs="宋体"/>
          <w:color w:val="auto"/>
          <w:spacing w:val="0"/>
          <w:kern w:val="0"/>
          <w:sz w:val="21"/>
          <w:szCs w:val="21"/>
          <w:highlight w:val="none"/>
          <w:lang w:val="en-US" w:eastAsia="zh-CN" w:bidi="ar"/>
        </w:rPr>
        <w:t>；承建（承接）企业为</w:t>
      </w:r>
      <w:r>
        <w:rPr>
          <w:rFonts w:hint="eastAsia" w:ascii="宋体" w:hAnsi="宋体" w:eastAsia="宋体" w:cs="宋体"/>
          <w:color w:val="auto"/>
          <w:spacing w:val="0"/>
          <w:kern w:val="0"/>
          <w:sz w:val="21"/>
          <w:szCs w:val="21"/>
          <w:highlight w:val="none"/>
          <w:u w:val="single"/>
          <w:lang w:val="en-US" w:eastAsia="zh-CN" w:bidi="ar"/>
        </w:rPr>
        <w:t>（企业名称）</w:t>
      </w:r>
      <w:r>
        <w:rPr>
          <w:rFonts w:hint="eastAsia" w:ascii="宋体" w:hAnsi="宋体" w:eastAsia="宋体" w:cs="宋体"/>
          <w:color w:val="auto"/>
          <w:spacing w:val="0"/>
          <w:kern w:val="0"/>
          <w:sz w:val="21"/>
          <w:szCs w:val="21"/>
          <w:highlight w:val="none"/>
          <w:lang w:val="en-US" w:eastAsia="zh-CN" w:bidi="ar"/>
        </w:rPr>
        <w:t>，从业人员</w:t>
      </w:r>
      <w:r>
        <w:rPr>
          <w:rFonts w:hint="eastAsia" w:ascii="宋体" w:hAnsi="宋体" w:eastAsia="宋体" w:cs="宋体"/>
          <w:color w:val="auto"/>
          <w:spacing w:val="0"/>
          <w:kern w:val="0"/>
          <w:sz w:val="21"/>
          <w:szCs w:val="21"/>
          <w:highlight w:val="none"/>
          <w:u w:val="single"/>
          <w:lang w:val="en-US" w:eastAsia="zh-CN" w:bidi="ar"/>
        </w:rPr>
        <w:t>  </w:t>
      </w:r>
      <w:r>
        <w:rPr>
          <w:rFonts w:hint="eastAsia" w:ascii="宋体" w:hAnsi="宋体" w:eastAsia="宋体" w:cs="宋体"/>
          <w:color w:val="auto"/>
          <w:spacing w:val="0"/>
          <w:kern w:val="0"/>
          <w:sz w:val="21"/>
          <w:szCs w:val="21"/>
          <w:highlight w:val="none"/>
          <w:lang w:val="en-US" w:eastAsia="zh-CN" w:bidi="ar"/>
        </w:rPr>
        <w:t>人，营业收入为</w:t>
      </w:r>
      <w:r>
        <w:rPr>
          <w:rFonts w:hint="eastAsia" w:ascii="宋体" w:hAnsi="宋体" w:eastAsia="宋体" w:cs="宋体"/>
          <w:color w:val="auto"/>
          <w:spacing w:val="0"/>
          <w:kern w:val="0"/>
          <w:sz w:val="21"/>
          <w:szCs w:val="21"/>
          <w:highlight w:val="none"/>
          <w:u w:val="single"/>
          <w:lang w:val="en-US" w:eastAsia="zh-CN" w:bidi="ar"/>
        </w:rPr>
        <w:t>  </w:t>
      </w:r>
      <w:r>
        <w:rPr>
          <w:rFonts w:hint="eastAsia" w:ascii="宋体" w:hAnsi="宋体" w:eastAsia="宋体" w:cs="宋体"/>
          <w:color w:val="auto"/>
          <w:spacing w:val="0"/>
          <w:kern w:val="0"/>
          <w:sz w:val="21"/>
          <w:szCs w:val="21"/>
          <w:highlight w:val="none"/>
          <w:lang w:val="en-US" w:eastAsia="zh-CN" w:bidi="ar"/>
        </w:rPr>
        <w:t>万元，资产总额为</w:t>
      </w:r>
      <w:r>
        <w:rPr>
          <w:rFonts w:hint="eastAsia" w:ascii="宋体" w:hAnsi="宋体" w:eastAsia="宋体" w:cs="宋体"/>
          <w:color w:val="auto"/>
          <w:spacing w:val="0"/>
          <w:kern w:val="0"/>
          <w:sz w:val="21"/>
          <w:szCs w:val="21"/>
          <w:highlight w:val="none"/>
          <w:u w:val="single"/>
          <w:lang w:val="en-US" w:eastAsia="zh-CN" w:bidi="ar"/>
        </w:rPr>
        <w:t>  </w:t>
      </w:r>
      <w:r>
        <w:rPr>
          <w:rFonts w:hint="eastAsia" w:ascii="宋体" w:hAnsi="宋体" w:eastAsia="宋体" w:cs="宋体"/>
          <w:color w:val="auto"/>
          <w:spacing w:val="0"/>
          <w:kern w:val="0"/>
          <w:sz w:val="21"/>
          <w:szCs w:val="21"/>
          <w:highlight w:val="none"/>
          <w:lang w:val="en-US" w:eastAsia="zh-CN" w:bidi="ar"/>
        </w:rPr>
        <w:t>万元</w:t>
      </w:r>
      <w:r>
        <w:rPr>
          <w:rFonts w:hint="eastAsia" w:ascii="宋体" w:hAnsi="宋体" w:eastAsia="宋体" w:cs="宋体"/>
          <w:color w:val="auto"/>
          <w:spacing w:val="0"/>
          <w:kern w:val="0"/>
          <w:sz w:val="21"/>
          <w:szCs w:val="21"/>
          <w:highlight w:val="none"/>
          <w:vertAlign w:val="superscript"/>
          <w:lang w:val="en-US" w:eastAsia="zh-CN" w:bidi="ar"/>
        </w:rPr>
        <w:t>1</w:t>
      </w:r>
      <w:r>
        <w:rPr>
          <w:rFonts w:hint="eastAsia" w:ascii="宋体" w:hAnsi="宋体" w:eastAsia="宋体" w:cs="宋体"/>
          <w:color w:val="auto"/>
          <w:spacing w:val="0"/>
          <w:kern w:val="0"/>
          <w:sz w:val="21"/>
          <w:szCs w:val="21"/>
          <w:highlight w:val="none"/>
          <w:lang w:val="en-US" w:eastAsia="zh-CN" w:bidi="ar"/>
        </w:rPr>
        <w:t>，属于</w:t>
      </w:r>
      <w:r>
        <w:rPr>
          <w:rFonts w:hint="eastAsia" w:ascii="宋体" w:hAnsi="宋体" w:eastAsia="宋体" w:cs="宋体"/>
          <w:color w:val="auto"/>
          <w:spacing w:val="0"/>
          <w:kern w:val="0"/>
          <w:sz w:val="21"/>
          <w:szCs w:val="21"/>
          <w:highlight w:val="none"/>
          <w:u w:val="single"/>
          <w:lang w:val="en-US" w:eastAsia="zh-CN" w:bidi="ar"/>
        </w:rPr>
        <w:t>（中型企业、小型企业、微型企业</w:t>
      </w:r>
      <w:r>
        <w:rPr>
          <w:rFonts w:hint="eastAsia" w:ascii="宋体" w:hAnsi="宋体" w:eastAsia="宋体" w:cs="宋体"/>
          <w:color w:val="auto"/>
          <w:spacing w:val="0"/>
          <w:kern w:val="0"/>
          <w:sz w:val="21"/>
          <w:szCs w:val="21"/>
          <w:highlight w:val="none"/>
          <w:lang w:val="en-US" w:eastAsia="zh-CN" w:bidi="ar"/>
        </w:rPr>
        <w:t>）；</w:t>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w:t>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以上企业，不属于大企业的分支机构，不存在控股股东为大企业的情形，也不存在与大企业的负责人为同一人的情形。</w:t>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本企业对上述声明内容的真实性负责。如有虚假，将依法承担相应责任。</w:t>
      </w:r>
      <w:r>
        <w:rPr>
          <w:rFonts w:hint="eastAsia" w:ascii="宋体" w:hAnsi="宋体" w:eastAsia="宋体" w:cs="宋体"/>
          <w:color w:val="auto"/>
          <w:spacing w:val="0"/>
          <w:kern w:val="0"/>
          <w:sz w:val="21"/>
          <w:szCs w:val="21"/>
          <w:highlight w:val="none"/>
          <w:lang w:val="en-US" w:eastAsia="zh-CN" w:bidi="ar"/>
        </w:rPr>
        <w:br w:type="textWrapping"/>
      </w:r>
    </w:p>
    <w:p>
      <w:pPr>
        <w:keepNext w:val="0"/>
        <w:keepLines w:val="0"/>
        <w:widowControl/>
        <w:numPr>
          <w:ilvl w:val="0"/>
          <w:numId w:val="0"/>
        </w:numPr>
        <w:suppressLineNumbers w:val="0"/>
        <w:spacing w:before="75" w:beforeAutospacing="0" w:after="75" w:afterAutospacing="0"/>
        <w:ind w:left="480" w:leftChars="0" w:right="0" w:rightChars="0"/>
        <w:jc w:val="both"/>
        <w:rPr>
          <w:rFonts w:ascii="Times New Roman" w:hAnsi="Times New Roman" w:eastAsia="宋体" w:cs="Times New Roman"/>
          <w:color w:val="auto"/>
          <w:kern w:val="0"/>
          <w:sz w:val="24"/>
          <w:szCs w:val="24"/>
          <w:highlight w:val="none"/>
          <w:lang w:val="en-US" w:eastAsia="zh-CN" w:bidi="ar"/>
        </w:rPr>
      </w:pP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企业名称（盖章）：                     </w:t>
      </w: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日期：</w:t>
      </w:r>
      <w:r>
        <w:rPr>
          <w:rFonts w:hint="eastAsia" w:ascii="宋体" w:hAnsi="宋体" w:eastAsia="宋体" w:cs="宋体"/>
          <w:color w:val="auto"/>
          <w:spacing w:val="0"/>
          <w:kern w:val="0"/>
          <w:sz w:val="21"/>
          <w:szCs w:val="21"/>
          <w:highlight w:val="none"/>
          <w:lang w:val="en-US" w:eastAsia="zh-CN" w:bidi="ar"/>
        </w:rPr>
        <w:br w:type="textWrapping"/>
      </w:r>
    </w:p>
    <w:p>
      <w:pPr>
        <w:keepNext w:val="0"/>
        <w:keepLines w:val="0"/>
        <w:widowControl/>
        <w:numPr>
          <w:ilvl w:val="0"/>
          <w:numId w:val="0"/>
        </w:numPr>
        <w:suppressLineNumbers w:val="0"/>
        <w:spacing w:before="75" w:beforeAutospacing="0" w:after="75" w:afterAutospacing="0"/>
        <w:ind w:left="480" w:leftChars="0" w:right="0" w:rightChars="0"/>
        <w:jc w:val="left"/>
        <w:rPr>
          <w:rFonts w:ascii="Times New Roman" w:hAnsi="Times New Roman" w:eastAsia="宋体" w:cs="Times New Roman"/>
          <w:color w:val="auto"/>
          <w:kern w:val="0"/>
          <w:sz w:val="24"/>
          <w:szCs w:val="24"/>
          <w:highlight w:val="none"/>
          <w:lang w:val="en-US" w:eastAsia="zh-CN" w:bidi="ar"/>
        </w:rPr>
      </w:pPr>
      <w:r>
        <w:rPr>
          <w:rFonts w:hint="eastAsia" w:ascii="宋体" w:hAnsi="宋体" w:eastAsia="宋体" w:cs="宋体"/>
          <w:color w:val="auto"/>
          <w:spacing w:val="0"/>
          <w:kern w:val="0"/>
          <w:sz w:val="21"/>
          <w:szCs w:val="21"/>
          <w:highlight w:val="none"/>
          <w:lang w:val="en-US" w:eastAsia="zh-CN" w:bidi="ar"/>
        </w:rPr>
        <w:br w:type="textWrapping"/>
      </w:r>
      <w:r>
        <w:rPr>
          <w:rFonts w:hint="eastAsia" w:ascii="宋体" w:hAnsi="宋体" w:eastAsia="宋体" w:cs="宋体"/>
          <w:color w:val="auto"/>
          <w:spacing w:val="0"/>
          <w:kern w:val="0"/>
          <w:sz w:val="21"/>
          <w:szCs w:val="21"/>
          <w:highlight w:val="none"/>
          <w:lang w:val="en-US" w:eastAsia="zh-CN" w:bidi="ar"/>
        </w:rPr>
        <w:t>   从业人员、营业收入、资产总额填报上一年度数据，无上一年度数据的新成立企业可不填报。</w:t>
      </w:r>
    </w:p>
    <w:p>
      <w:pPr>
        <w:widowControl/>
        <w:jc w:val="center"/>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r>
        <w:rPr>
          <w:rFonts w:hint="eastAsia" w:ascii="宋体" w:hAnsi="宋体" w:cs="宋体"/>
          <w:b/>
          <w:color w:val="auto"/>
          <w:kern w:val="0"/>
          <w:szCs w:val="21"/>
          <w:highlight w:val="none"/>
        </w:rPr>
        <w:br w:type="page"/>
      </w:r>
      <w:r>
        <w:rPr>
          <w:rFonts w:hint="eastAsia" w:ascii="宋体" w:hAnsi="宋体" w:cs="宋体"/>
          <w:b/>
          <w:color w:val="auto"/>
          <w:kern w:val="0"/>
          <w:szCs w:val="21"/>
          <w:highlight w:val="none"/>
        </w:rPr>
        <w:t xml:space="preserve">附件7-1-2   </w:t>
      </w:r>
      <w:r>
        <w:rPr>
          <w:rFonts w:hint="eastAsia" w:ascii="宋体" w:hAnsi="宋体" w:cs="宋体"/>
          <w:b/>
          <w:bCs/>
          <w:color w:val="auto"/>
          <w:kern w:val="0"/>
          <w:szCs w:val="21"/>
          <w:highlight w:val="none"/>
        </w:rPr>
        <w:t>残疾人福利性单位声明函（如果有的话）</w:t>
      </w:r>
    </w:p>
    <w:p>
      <w:pPr>
        <w:widowControl/>
        <w:spacing w:line="435" w:lineRule="atLeast"/>
        <w:ind w:firstLine="420"/>
        <w:rPr>
          <w:rFonts w:hint="eastAsia" w:ascii="宋体" w:hAnsi="宋体" w:cs="宋体"/>
          <w:color w:val="auto"/>
          <w:kern w:val="0"/>
          <w:szCs w:val="21"/>
          <w:highlight w:val="none"/>
        </w:rPr>
      </w:pPr>
      <w:r>
        <w:rPr>
          <w:rFonts w:hint="eastAsia" w:ascii="宋体" w:hAnsi="宋体" w:cs="宋体"/>
          <w:color w:val="auto"/>
          <w:kern w:val="0"/>
          <w:szCs w:val="21"/>
          <w:highlight w:val="none"/>
        </w:rPr>
        <w:t>本供应商郑重声明，根据《财政部民政部中国残疾人联合会关于促进残疾人就业政府采购政策的通知》（财库[2017]141号）的规定，本供应商为符合条件的残疾人福利性单位，且本供应商参加贵单位的（填写“项目名称”）项目采购活动：</w:t>
      </w:r>
    </w:p>
    <w:p>
      <w:pPr>
        <w:widowControl/>
        <w:spacing w:line="435" w:lineRule="atLeast"/>
        <w:ind w:firstLine="420"/>
        <w:rPr>
          <w:rFonts w:hint="eastAsia" w:ascii="宋体" w:hAnsi="宋体" w:cs="宋体"/>
          <w:color w:val="auto"/>
          <w:kern w:val="0"/>
          <w:szCs w:val="21"/>
          <w:highlight w:val="none"/>
        </w:rPr>
      </w:pPr>
      <w:r>
        <w:rPr>
          <w:rFonts w:hint="eastAsia" w:ascii="宋体" w:hAnsi="宋体" w:cs="宋体"/>
          <w:color w:val="auto"/>
          <w:kern w:val="0"/>
          <w:szCs w:val="21"/>
          <w:highlight w:val="none"/>
        </w:rPr>
        <w:t>（）提供本供应商制造的（填写“所投</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、品目号”）货物，</w:t>
      </w:r>
    </w:p>
    <w:p>
      <w:pPr>
        <w:widowControl/>
        <w:spacing w:line="435" w:lineRule="atLeast"/>
        <w:ind w:firstLine="420"/>
        <w:rPr>
          <w:rFonts w:hint="eastAsia" w:ascii="宋体" w:hAnsi="宋体" w:cs="宋体"/>
          <w:color w:val="auto"/>
          <w:kern w:val="0"/>
          <w:szCs w:val="21"/>
          <w:highlight w:val="none"/>
        </w:rPr>
      </w:pPr>
      <w:r>
        <w:rPr>
          <w:rFonts w:hint="eastAsia" w:ascii="宋体" w:hAnsi="宋体" w:cs="宋体"/>
          <w:color w:val="auto"/>
          <w:kern w:val="0"/>
          <w:szCs w:val="21"/>
          <w:highlight w:val="none"/>
        </w:rPr>
        <w:t>（）由本供应商承担的（填写“所投</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、品目号”）工程，</w:t>
      </w:r>
    </w:p>
    <w:p>
      <w:pPr>
        <w:widowControl/>
        <w:spacing w:line="435" w:lineRule="atLeast"/>
        <w:ind w:firstLine="420"/>
        <w:rPr>
          <w:rFonts w:hint="eastAsia" w:ascii="宋体" w:hAnsi="宋体" w:cs="宋体"/>
          <w:color w:val="auto"/>
          <w:kern w:val="0"/>
          <w:szCs w:val="21"/>
          <w:highlight w:val="none"/>
        </w:rPr>
      </w:pPr>
      <w:r>
        <w:rPr>
          <w:rFonts w:hint="eastAsia" w:ascii="宋体" w:hAnsi="宋体" w:cs="宋体"/>
          <w:color w:val="auto"/>
          <w:kern w:val="0"/>
          <w:szCs w:val="21"/>
          <w:highlight w:val="none"/>
        </w:rPr>
        <w:t>（）由本供应商提供的（填写“所投</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、品目号”）服务；或</w:t>
      </w:r>
    </w:p>
    <w:p>
      <w:pPr>
        <w:widowControl/>
        <w:spacing w:line="435" w:lineRule="atLeast"/>
        <w:ind w:firstLine="420"/>
        <w:rPr>
          <w:rFonts w:hint="eastAsia" w:ascii="宋体" w:hAnsi="宋体" w:cs="宋体"/>
          <w:color w:val="auto"/>
          <w:kern w:val="0"/>
          <w:szCs w:val="21"/>
          <w:highlight w:val="none"/>
        </w:rPr>
      </w:pPr>
      <w:r>
        <w:rPr>
          <w:rFonts w:hint="eastAsia" w:ascii="宋体" w:hAnsi="宋体" w:cs="宋体"/>
          <w:color w:val="auto"/>
          <w:kern w:val="0"/>
          <w:szCs w:val="21"/>
          <w:highlight w:val="none"/>
        </w:rPr>
        <w:t>（）提供其他残疾人福利性单位制造的（填写“所投</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、品目号”）货物（不包括使用非残疾人福利性单位注册商标的货物）。</w:t>
      </w:r>
    </w:p>
    <w:p>
      <w:pPr>
        <w:widowControl/>
        <w:spacing w:line="435" w:lineRule="atLeast"/>
        <w:ind w:firstLine="420"/>
        <w:rPr>
          <w:rFonts w:hint="eastAsia" w:ascii="宋体" w:hAnsi="宋体" w:cs="宋体"/>
          <w:color w:val="auto"/>
          <w:kern w:val="0"/>
          <w:szCs w:val="21"/>
          <w:highlight w:val="none"/>
        </w:rPr>
      </w:pPr>
      <w:r>
        <w:rPr>
          <w:rFonts w:hint="eastAsia" w:ascii="宋体" w:hAnsi="宋体" w:cs="宋体"/>
          <w:color w:val="auto"/>
          <w:kern w:val="0"/>
          <w:szCs w:val="21"/>
          <w:highlight w:val="none"/>
        </w:rPr>
        <w:t>本供应商对上述声明的真实性负责。如有虚假，将依法承担相应责任。</w:t>
      </w:r>
    </w:p>
    <w:p>
      <w:pPr>
        <w:widowControl/>
        <w:spacing w:line="435" w:lineRule="atLeast"/>
        <w:ind w:firstLine="420"/>
        <w:rPr>
          <w:rFonts w:hint="eastAsia" w:ascii="宋体" w:hAnsi="宋体" w:cs="宋体"/>
          <w:color w:val="auto"/>
          <w:kern w:val="0"/>
          <w:szCs w:val="21"/>
          <w:highlight w:val="none"/>
        </w:rPr>
      </w:pPr>
    </w:p>
    <w:p>
      <w:pPr>
        <w:widowControl/>
        <w:spacing w:line="435" w:lineRule="atLeas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（全称并加盖公章）</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spacing w:line="420"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备注：（1）若供应商不符合残疾人福利性单位，不用提供本声明函，否则视为提供虚假材料。</w:t>
      </w:r>
      <w:r>
        <w:rPr>
          <w:rFonts w:hint="eastAsia" w:ascii="宋体" w:hAnsi="宋体" w:cs="宋体"/>
          <w:b/>
          <w:bCs/>
          <w:color w:val="auto"/>
          <w:kern w:val="0"/>
          <w:szCs w:val="21"/>
          <w:highlight w:val="none"/>
        </w:rPr>
        <w:t>供应商在提交最后报价时，如果没有同时向谈判小组提交上述声明函，视同为供应商不符合残疾人福利性单位，不享受价格扣除的优惠政策。</w:t>
      </w:r>
    </w:p>
    <w:p>
      <w:pPr>
        <w:widowControl/>
        <w:spacing w:line="420"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（2）请供应商按照实际情况编制填写本声明函，并在相应的（）中打“√”。</w:t>
      </w:r>
    </w:p>
    <w:p>
      <w:pPr>
        <w:widowControl/>
        <w:spacing w:line="420"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（3）纸质响应文件正本中的本声明函（若有）应为原件。</w:t>
      </w:r>
    </w:p>
    <w:p>
      <w:pPr>
        <w:widowControl/>
        <w:spacing w:line="420"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（4）若《残疾人福利性单位声明函》内容不真实，视为提供虚假材料。</w:t>
      </w: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br w:type="textWrapping"/>
      </w:r>
    </w:p>
    <w:p>
      <w:pPr>
        <w:widowControl/>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b/>
          <w:color w:val="auto"/>
          <w:kern w:val="0"/>
          <w:szCs w:val="21"/>
          <w:highlight w:val="none"/>
        </w:rPr>
        <w:t xml:space="preserve">附件7-2   </w:t>
      </w:r>
      <w:r>
        <w:rPr>
          <w:rFonts w:hint="eastAsia" w:ascii="宋体" w:hAnsi="宋体" w:cs="宋体"/>
          <w:b/>
          <w:bCs/>
          <w:color w:val="auto"/>
          <w:kern w:val="0"/>
          <w:szCs w:val="21"/>
          <w:highlight w:val="none"/>
        </w:rPr>
        <w:t>优先类节能产品、环境标志产品价格扣除证明材料（如果有的话）</w:t>
      </w:r>
    </w:p>
    <w:p>
      <w:pPr>
        <w:widowControl/>
        <w:rPr>
          <w:rFonts w:hint="eastAsia" w:ascii="宋体" w:hAnsi="宋体" w:cs="宋体"/>
          <w:color w:val="auto"/>
          <w:kern w:val="0"/>
          <w:szCs w:val="21"/>
          <w:highlight w:val="none"/>
        </w:rPr>
      </w:pPr>
    </w:p>
    <w:tbl>
      <w:tblPr>
        <w:tblStyle w:val="18"/>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224"/>
        <w:gridCol w:w="1211"/>
        <w:gridCol w:w="1207"/>
        <w:gridCol w:w="1217"/>
        <w:gridCol w:w="1207"/>
        <w:gridCol w:w="1217"/>
        <w:gridCol w:w="123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179" w:type="dxa"/>
            <w:tcBorders>
              <w:top w:val="outset" w:color="auto" w:sz="6"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7251" w:type="dxa"/>
            <w:gridSpan w:val="6"/>
            <w:tcBorders>
              <w:top w:val="outset" w:color="auto" w:sz="6"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内属于节能、环境标志产品的情况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179" w:type="dxa"/>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采购包</w:t>
            </w:r>
          </w:p>
        </w:tc>
        <w:tc>
          <w:tcPr>
            <w:tcW w:w="1181"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品目号</w:t>
            </w:r>
          </w:p>
        </w:tc>
        <w:tc>
          <w:tcPr>
            <w:tcW w:w="1177" w:type="dxa"/>
            <w:tcBorders>
              <w:top w:val="outset" w:color="auto" w:sz="6"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产品名称</w:t>
            </w:r>
          </w:p>
        </w:tc>
        <w:tc>
          <w:tcPr>
            <w:tcW w:w="1187" w:type="dxa"/>
            <w:tcBorders>
              <w:top w:val="outset" w:color="auto" w:sz="6"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最后报价单价</w:t>
            </w: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（现场）</w:t>
            </w:r>
          </w:p>
        </w:tc>
        <w:tc>
          <w:tcPr>
            <w:tcW w:w="1177" w:type="dxa"/>
            <w:tcBorders>
              <w:top w:val="outset" w:color="auto" w:sz="6"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数量</w:t>
            </w:r>
          </w:p>
        </w:tc>
        <w:tc>
          <w:tcPr>
            <w:tcW w:w="1187" w:type="dxa"/>
            <w:tcBorders>
              <w:top w:val="outset" w:color="auto" w:sz="6"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最后报价总价</w:t>
            </w: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（现场）</w:t>
            </w:r>
          </w:p>
        </w:tc>
        <w:tc>
          <w:tcPr>
            <w:tcW w:w="1192" w:type="dxa"/>
            <w:tcBorders>
              <w:top w:val="outset" w:color="auto" w:sz="6"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认证种类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179" w:type="dxa"/>
            <w:vMerge w:val="restart"/>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w:t>
            </w:r>
          </w:p>
        </w:tc>
        <w:tc>
          <w:tcPr>
            <w:tcW w:w="1181"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*-1</w:t>
            </w:r>
          </w:p>
        </w:tc>
        <w:tc>
          <w:tcPr>
            <w:tcW w:w="1177"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87"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7"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87"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92"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179" w:type="dxa"/>
            <w:vMerge w:val="continue"/>
            <w:tcBorders>
              <w:top w:val="single" w:color="auto" w:sz="0" w:space="0"/>
              <w:left w:val="outset" w:color="auto" w:sz="6" w:space="0"/>
              <w:bottom w:val="outset" w:color="auto" w:sz="6" w:space="0"/>
              <w:right w:val="outset" w:color="auto" w:sz="6" w:space="0"/>
            </w:tcBorders>
            <w:noWrap w:val="0"/>
            <w:vAlign w:val="center"/>
          </w:tcPr>
          <w:p>
            <w:pPr>
              <w:widowControl/>
              <w:jc w:val="left"/>
              <w:rPr>
                <w:rFonts w:hint="eastAsia" w:ascii="宋体" w:hAnsi="宋体" w:cs="宋体"/>
                <w:color w:val="auto"/>
                <w:kern w:val="0"/>
                <w:szCs w:val="21"/>
                <w:highlight w:val="none"/>
              </w:rPr>
            </w:pPr>
          </w:p>
        </w:tc>
        <w:tc>
          <w:tcPr>
            <w:tcW w:w="1181"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w:t>
            </w:r>
          </w:p>
        </w:tc>
        <w:tc>
          <w:tcPr>
            <w:tcW w:w="1177"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87"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77"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87"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c>
          <w:tcPr>
            <w:tcW w:w="1192" w:type="dxa"/>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center"/>
          </w:tcPr>
          <w:p>
            <w:pPr>
              <w:widowControl/>
              <w:jc w:val="left"/>
              <w:rPr>
                <w:rFonts w:hint="eastAsia"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179" w:type="dxa"/>
            <w:tcBorders>
              <w:top w:val="single" w:color="auto" w:sz="0" w:space="0"/>
              <w:left w:val="outset" w:color="auto" w:sz="6" w:space="0"/>
              <w:bottom w:val="outset" w:color="auto" w:sz="6" w:space="0"/>
              <w:right w:val="outset" w:color="auto" w:sz="6" w:space="0"/>
            </w:tcBorders>
            <w:noWrap w:val="0"/>
            <w:tcMar>
              <w:top w:w="0" w:type="dxa"/>
              <w:left w:w="105" w:type="dxa"/>
              <w:bottom w:w="0" w:type="dxa"/>
              <w:right w:w="105" w:type="dxa"/>
            </w:tcMar>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备注</w:t>
            </w:r>
          </w:p>
        </w:tc>
        <w:tc>
          <w:tcPr>
            <w:tcW w:w="7251" w:type="dxa"/>
            <w:gridSpan w:val="6"/>
            <w:tcBorders>
              <w:top w:val="single" w:color="auto" w:sz="0" w:space="0"/>
              <w:left w:val="single" w:color="auto" w:sz="0" w:space="0"/>
              <w:bottom w:val="outset" w:color="auto" w:sz="6" w:space="0"/>
              <w:right w:val="outset" w:color="auto" w:sz="6" w:space="0"/>
            </w:tcBorders>
            <w:noWrap w:val="0"/>
            <w:tcMar>
              <w:top w:w="0" w:type="dxa"/>
              <w:left w:w="105" w:type="dxa"/>
              <w:bottom w:w="0" w:type="dxa"/>
              <w:right w:w="105" w:type="dxa"/>
            </w:tcMar>
            <w:vAlign w:val="top"/>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 本</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内属于节能、环境标志产品的合计最后报价总金额：    ；</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b 本</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最后报价总价：    ；</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c 本</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内属于节能、环境标志产品的合计最后报价总金额占本</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最后报价总价的比例（以%列示）：     。</w:t>
            </w:r>
          </w:p>
        </w:tc>
      </w:tr>
    </w:tbl>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注意：</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对“节能、环境标志产品”计算价格扣除时，只依据响应文件提交的依据国家确定的认证机构出具的、处于有效期之内的节能产品、环境标志产品认证证书复印件。未按要求提供证明资料，不享受价格扣除的优惠政策。</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2、具体统计、计算：</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2.1若同一</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内的单个或多个货物取得或同时取得节能、环境标志产品等两项或多项认证的，均按照单个货物对应一项认证的原则统计、计算1次。</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2.2计算结果若除不尽，可四舍五入保留到小数点后两位。</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2.3供应商应按照谈判文件上表要求认真统计、计算，否则谈判小组可不予认定。</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2.4若无节能、环境标志产品，不填写本表，否则，视为提供虚假材料。</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2.5强制类节能产品不享受价格扣除。</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3、本表以</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为单位，不同</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请分别填写；同一</w:t>
      </w:r>
      <w:r>
        <w:rPr>
          <w:rFonts w:hint="eastAsia" w:ascii="宋体" w:hAnsi="宋体" w:cs="宋体"/>
          <w:color w:val="auto"/>
          <w:kern w:val="0"/>
          <w:szCs w:val="21"/>
          <w:highlight w:val="none"/>
          <w:lang w:eastAsia="zh-CN"/>
        </w:rPr>
        <w:t>采购包</w:t>
      </w:r>
      <w:r>
        <w:rPr>
          <w:rFonts w:hint="eastAsia" w:ascii="宋体" w:hAnsi="宋体" w:cs="宋体"/>
          <w:color w:val="auto"/>
          <w:kern w:val="0"/>
          <w:szCs w:val="21"/>
          <w:highlight w:val="none"/>
        </w:rPr>
        <w:t>请按照顺序分别填写，以方便谈判小组审阅。</w:t>
      </w:r>
      <w:r>
        <w:rPr>
          <w:rFonts w:hint="eastAsia" w:ascii="宋体" w:hAnsi="宋体" w:cs="宋体"/>
          <w:b/>
          <w:bCs/>
          <w:color w:val="auto"/>
          <w:kern w:val="0"/>
          <w:szCs w:val="21"/>
          <w:highlight w:val="none"/>
        </w:rPr>
        <w:t>供应商在提交最后报价时，如果没有同时向谈判小组提交上表内容并附相应证明资料，视同为供应商的产品不属于节能、环境标志产品，不享受价格扣除的优惠政策。</w:t>
      </w:r>
    </w:p>
    <w:p>
      <w:pPr>
        <w:widowControl/>
        <w:spacing w:line="36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4、纸质响应文件正本中的本表（若有）应为原件。</w:t>
      </w:r>
    </w:p>
    <w:p>
      <w:pPr>
        <w:widowControl/>
        <w:spacing w:line="420"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left"/>
        <w:rPr>
          <w:rFonts w:hint="eastAsia" w:ascii="宋体" w:hAnsi="宋体" w:cs="宋体"/>
          <w:color w:val="auto"/>
          <w:kern w:val="0"/>
          <w:szCs w:val="21"/>
          <w:highlight w:val="none"/>
        </w:rPr>
      </w:pP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br w:type="textWrapping"/>
      </w:r>
    </w:p>
    <w:p>
      <w:pPr>
        <w:widowControl/>
        <w:jc w:val="center"/>
        <w:rPr>
          <w:rFonts w:hint="eastAsia" w:ascii="宋体" w:hAnsi="宋体" w:cs="宋体"/>
          <w:b/>
          <w:color w:val="auto"/>
          <w:kern w:val="0"/>
          <w:szCs w:val="21"/>
          <w:highlight w:val="none"/>
        </w:rPr>
      </w:pPr>
      <w:r>
        <w:rPr>
          <w:rFonts w:hint="eastAsia" w:ascii="宋体" w:hAnsi="宋体" w:cs="宋体"/>
          <w:color w:val="auto"/>
          <w:kern w:val="0"/>
          <w:szCs w:val="21"/>
          <w:highlight w:val="none"/>
        </w:rPr>
        <w:br w:type="page"/>
      </w:r>
      <w:r>
        <w:rPr>
          <w:rFonts w:hint="eastAsia" w:ascii="宋体" w:hAnsi="宋体" w:cs="宋体"/>
          <w:b/>
          <w:color w:val="auto"/>
          <w:kern w:val="0"/>
          <w:szCs w:val="21"/>
          <w:highlight w:val="none"/>
        </w:rPr>
        <w:t xml:space="preserve">附件8    </w:t>
      </w:r>
      <w:r>
        <w:rPr>
          <w:rFonts w:hint="eastAsia" w:ascii="宋体" w:hAnsi="宋体" w:cs="宋体"/>
          <w:b/>
          <w:bCs/>
          <w:color w:val="auto"/>
          <w:kern w:val="0"/>
          <w:szCs w:val="21"/>
          <w:highlight w:val="none"/>
        </w:rPr>
        <w:t>要求作为响应文件组成部分的其他内容（若有）</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说明：</w:t>
      </w:r>
    </w:p>
    <w:p>
      <w:pPr>
        <w:widowControl/>
        <w:spacing w:line="435" w:lineRule="atLeast"/>
        <w:ind w:firstLine="48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1、供应商根据自身实际情况编写有关资料包括如供应商单位简介、竞争性谈判文件要求提供或供应商自已认为体现自身优势，需要补充说明的其它资料，格式自拟。</w:t>
      </w:r>
    </w:p>
    <w:p>
      <w:pPr>
        <w:widowControl/>
        <w:jc w:val="left"/>
        <w:rPr>
          <w:rFonts w:hint="eastAsia" w:ascii="宋体" w:hAnsi="宋体" w:cs="宋体"/>
          <w:color w:val="auto"/>
          <w:kern w:val="0"/>
          <w:szCs w:val="21"/>
          <w:highlight w:val="none"/>
        </w:rPr>
      </w:pP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供应商代表：    （签字）</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供应商名称：    （全称并加盖公章）</w:t>
      </w:r>
    </w:p>
    <w:p>
      <w:pPr>
        <w:widowControl/>
        <w:spacing w:line="435" w:lineRule="atLeas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    年    月    日</w:t>
      </w:r>
    </w:p>
    <w:p>
      <w:pPr>
        <w:widowControl/>
        <w:jc w:val="left"/>
        <w:rPr>
          <w:rFonts w:hint="eastAsia" w:ascii="宋体" w:hAnsi="宋体" w:cs="宋体"/>
          <w:color w:val="auto"/>
          <w:kern w:val="0"/>
          <w:szCs w:val="21"/>
          <w:highlight w:val="none"/>
        </w:rPr>
      </w:pPr>
    </w:p>
    <w:p>
      <w:pPr>
        <w:spacing w:line="360" w:lineRule="auto"/>
        <w:rPr>
          <w:rFonts w:hint="eastAsia" w:ascii="宋体" w:hAnsi="宋体" w:cs="宋体"/>
          <w:color w:val="auto"/>
          <w:szCs w:val="21"/>
          <w:highlight w:val="none"/>
        </w:rPr>
      </w:pPr>
    </w:p>
    <w:p>
      <w:pPr>
        <w:spacing w:line="360" w:lineRule="auto"/>
        <w:jc w:val="center"/>
        <w:rPr>
          <w:rFonts w:hint="eastAsia" w:ascii="宋体" w:hAnsi="宋体" w:cs="宋体"/>
          <w:b/>
          <w:bCs/>
          <w:color w:val="auto"/>
          <w:szCs w:val="21"/>
          <w:highlight w:val="none"/>
        </w:rPr>
      </w:pPr>
    </w:p>
    <w:p>
      <w:pPr>
        <w:spacing w:line="360" w:lineRule="auto"/>
        <w:jc w:val="center"/>
        <w:rPr>
          <w:rFonts w:hint="eastAsia" w:ascii="宋体" w:hAnsi="宋体" w:cs="宋体"/>
          <w:color w:val="auto"/>
          <w:szCs w:val="21"/>
          <w:highlight w:val="none"/>
        </w:rPr>
      </w:pPr>
    </w:p>
    <w:p>
      <w:pPr>
        <w:spacing w:line="360" w:lineRule="auto"/>
        <w:jc w:val="center"/>
        <w:rPr>
          <w:rFonts w:hint="eastAsia" w:ascii="宋体" w:hAnsi="宋体" w:cs="宋体"/>
          <w:color w:val="auto"/>
          <w:szCs w:val="21"/>
          <w:highlight w:val="none"/>
        </w:rPr>
      </w:pPr>
    </w:p>
    <w:p>
      <w:pPr>
        <w:spacing w:line="360" w:lineRule="auto"/>
        <w:jc w:val="center"/>
        <w:rPr>
          <w:rFonts w:hint="eastAsia" w:ascii="宋体" w:hAnsi="宋体" w:cs="宋体"/>
          <w:color w:val="auto"/>
          <w:szCs w:val="21"/>
          <w:highlight w:val="none"/>
        </w:rPr>
      </w:pPr>
    </w:p>
    <w:p>
      <w:pPr>
        <w:spacing w:line="360" w:lineRule="auto"/>
        <w:jc w:val="center"/>
        <w:rPr>
          <w:rFonts w:hint="eastAsia" w:ascii="宋体" w:hAnsi="宋体" w:cs="宋体"/>
          <w:color w:val="auto"/>
          <w:szCs w:val="21"/>
          <w:highlight w:val="none"/>
        </w:rPr>
      </w:pPr>
    </w:p>
    <w:p>
      <w:pPr>
        <w:spacing w:line="360" w:lineRule="auto"/>
        <w:jc w:val="center"/>
        <w:rPr>
          <w:rFonts w:hint="eastAsia" w:ascii="宋体" w:hAnsi="宋体" w:cs="宋体"/>
          <w:color w:val="auto"/>
          <w:szCs w:val="21"/>
          <w:highlight w:val="none"/>
        </w:rPr>
      </w:pPr>
    </w:p>
    <w:p>
      <w:pPr>
        <w:spacing w:line="360" w:lineRule="auto"/>
        <w:jc w:val="center"/>
        <w:rPr>
          <w:rFonts w:hint="eastAsia" w:ascii="宋体" w:hAnsi="宋体" w:cs="宋体"/>
          <w:color w:val="auto"/>
          <w:szCs w:val="21"/>
          <w:highlight w:val="none"/>
        </w:rPr>
      </w:pPr>
    </w:p>
    <w:p>
      <w:pPr>
        <w:spacing w:line="360" w:lineRule="auto"/>
        <w:jc w:val="center"/>
        <w:rPr>
          <w:rFonts w:hint="eastAsia" w:ascii="宋体" w:hAnsi="宋体" w:cs="宋体"/>
          <w:color w:val="auto"/>
          <w:szCs w:val="21"/>
          <w:highlight w:val="none"/>
        </w:rPr>
      </w:pPr>
    </w:p>
    <w:p>
      <w:pPr>
        <w:spacing w:line="360" w:lineRule="auto"/>
        <w:jc w:val="center"/>
        <w:rPr>
          <w:rFonts w:hint="eastAsia" w:ascii="宋体" w:hAnsi="宋体" w:cs="宋体"/>
          <w:color w:val="auto"/>
          <w:szCs w:val="21"/>
          <w:highlight w:val="none"/>
        </w:rPr>
      </w:pPr>
    </w:p>
    <w:p>
      <w:pPr>
        <w:spacing w:line="360" w:lineRule="auto"/>
        <w:rPr>
          <w:rFonts w:hint="eastAsia" w:ascii="宋体" w:hAnsi="宋体" w:cs="宋体"/>
          <w:color w:val="auto"/>
          <w:szCs w:val="21"/>
          <w:highlight w:val="none"/>
        </w:rPr>
      </w:pPr>
    </w:p>
    <w:p>
      <w:pPr>
        <w:rPr>
          <w:color w:val="auto"/>
          <w:highlight w:val="none"/>
        </w:rPr>
      </w:pPr>
    </w:p>
    <w:sectPr>
      <w:headerReference r:id="rId3" w:type="default"/>
      <w:footerReference r:id="rId4" w:type="default"/>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新魏">
    <w:altName w:val="宋体"/>
    <w:panose1 w:val="02010800040101010101"/>
    <w:charset w:val="86"/>
    <w:family w:val="auto"/>
    <w:pitch w:val="default"/>
    <w:sig w:usb0="00000000" w:usb1="00000000" w:usb2="00000000" w:usb3="00000000" w:csb0="00040000" w:csb1="00000000"/>
  </w:font>
  <w:font w:name="经典中圆繁">
    <w:altName w:val="宋体"/>
    <w:panose1 w:val="00000000000000000000"/>
    <w:charset w:val="86"/>
    <w:family w:val="modern"/>
    <w:pitch w:val="default"/>
    <w:sig w:usb0="00000000" w:usb1="00000000" w:usb2="0000001E"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68</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hd w:val="pct5" w:color="auto" w:fill="auto"/>
      <w:rPr>
        <w:rFonts w:ascii="宋体"/>
      </w:rPr>
    </w:pPr>
    <w:r>
      <w:rPr>
        <w:rFonts w:hint="eastAsia" w:ascii="宋体" w:hAnsi="宋体"/>
      </w:rPr>
      <w:t>宁德市有信产权交易服务有限公司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B6A8A"/>
    <w:multiLevelType w:val="singleLevel"/>
    <w:tmpl w:val="891B6A8A"/>
    <w:lvl w:ilvl="0" w:tentative="0">
      <w:start w:val="1"/>
      <w:numFmt w:val="lowerLetter"/>
      <w:lvlText w:val="%1."/>
      <w:lvlJc w:val="left"/>
      <w:pPr>
        <w:tabs>
          <w:tab w:val="left" w:pos="312"/>
        </w:tabs>
        <w:ind w:left="-4"/>
      </w:pPr>
    </w:lvl>
  </w:abstractNum>
  <w:abstractNum w:abstractNumId="1">
    <w:nsid w:val="E04E67C2"/>
    <w:multiLevelType w:val="singleLevel"/>
    <w:tmpl w:val="E04E67C2"/>
    <w:lvl w:ilvl="0" w:tentative="0">
      <w:start w:val="8"/>
      <w:numFmt w:val="decimal"/>
      <w:lvlText w:val="%1."/>
      <w:lvlJc w:val="left"/>
      <w:pPr>
        <w:tabs>
          <w:tab w:val="left" w:pos="312"/>
        </w:tabs>
      </w:pPr>
    </w:lvl>
  </w:abstractNum>
  <w:abstractNum w:abstractNumId="2">
    <w:nsid w:val="4389A4EE"/>
    <w:multiLevelType w:val="singleLevel"/>
    <w:tmpl w:val="4389A4EE"/>
    <w:lvl w:ilvl="0" w:tentative="0">
      <w:start w:val="2"/>
      <w:numFmt w:val="decimal"/>
      <w:suff w:val="nothing"/>
      <w:lvlText w:val="（%1）"/>
      <w:lvlJc w:val="left"/>
    </w:lvl>
  </w:abstractNum>
  <w:abstractNum w:abstractNumId="3">
    <w:nsid w:val="4DA7E145"/>
    <w:multiLevelType w:val="singleLevel"/>
    <w:tmpl w:val="4DA7E145"/>
    <w:lvl w:ilvl="0" w:tentative="0">
      <w:start w:val="1"/>
      <w:numFmt w:val="decimal"/>
      <w:suff w:val="nothing"/>
      <w:lvlText w:val="（%1）"/>
      <w:lvlJc w:val="left"/>
    </w:lvl>
  </w:abstractNum>
  <w:abstractNum w:abstractNumId="4">
    <w:nsid w:val="57CDE4A7"/>
    <w:multiLevelType w:val="singleLevel"/>
    <w:tmpl w:val="57CDE4A7"/>
    <w:lvl w:ilvl="0" w:tentative="0">
      <w:start w:val="1"/>
      <w:numFmt w:val="chineseCounting"/>
      <w:suff w:val="nothing"/>
      <w:lvlText w:val="%1、"/>
      <w:lvlJc w:val="left"/>
      <w:rPr>
        <w:rFonts w:hint="eastAsia"/>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5ZTJmZmQ0MDI4ZDZiZTAzYzlhNzYxMmRjOTNhOGUifQ=="/>
  </w:docVars>
  <w:rsids>
    <w:rsidRoot w:val="00172A27"/>
    <w:rsid w:val="00002F0E"/>
    <w:rsid w:val="000244DB"/>
    <w:rsid w:val="00046020"/>
    <w:rsid w:val="000516C6"/>
    <w:rsid w:val="00054C48"/>
    <w:rsid w:val="00073C3D"/>
    <w:rsid w:val="00082196"/>
    <w:rsid w:val="00140876"/>
    <w:rsid w:val="001D7098"/>
    <w:rsid w:val="001E2BBF"/>
    <w:rsid w:val="001F36DD"/>
    <w:rsid w:val="0020008C"/>
    <w:rsid w:val="002037CC"/>
    <w:rsid w:val="0024173C"/>
    <w:rsid w:val="0025261F"/>
    <w:rsid w:val="00291CC4"/>
    <w:rsid w:val="00305C7F"/>
    <w:rsid w:val="00357DA7"/>
    <w:rsid w:val="0036234D"/>
    <w:rsid w:val="00363F71"/>
    <w:rsid w:val="00370BFB"/>
    <w:rsid w:val="003857B9"/>
    <w:rsid w:val="003B07CC"/>
    <w:rsid w:val="003B2909"/>
    <w:rsid w:val="003D18C0"/>
    <w:rsid w:val="003F7A52"/>
    <w:rsid w:val="0041390C"/>
    <w:rsid w:val="00496B6C"/>
    <w:rsid w:val="004A0E98"/>
    <w:rsid w:val="004B0132"/>
    <w:rsid w:val="004B27A2"/>
    <w:rsid w:val="004B3214"/>
    <w:rsid w:val="004C0FD7"/>
    <w:rsid w:val="004E6432"/>
    <w:rsid w:val="005176EF"/>
    <w:rsid w:val="005257AA"/>
    <w:rsid w:val="00615239"/>
    <w:rsid w:val="00620A7C"/>
    <w:rsid w:val="00666833"/>
    <w:rsid w:val="00713E7C"/>
    <w:rsid w:val="00723261"/>
    <w:rsid w:val="00770C17"/>
    <w:rsid w:val="007A7133"/>
    <w:rsid w:val="00830B85"/>
    <w:rsid w:val="00834292"/>
    <w:rsid w:val="008475E6"/>
    <w:rsid w:val="00871A8D"/>
    <w:rsid w:val="008C52A2"/>
    <w:rsid w:val="0091058E"/>
    <w:rsid w:val="009513DC"/>
    <w:rsid w:val="0098446C"/>
    <w:rsid w:val="009B70E5"/>
    <w:rsid w:val="009B7C27"/>
    <w:rsid w:val="009D63D1"/>
    <w:rsid w:val="00A27367"/>
    <w:rsid w:val="00A36FD9"/>
    <w:rsid w:val="00A819AA"/>
    <w:rsid w:val="00B337E7"/>
    <w:rsid w:val="00B73EED"/>
    <w:rsid w:val="00B749DA"/>
    <w:rsid w:val="00B90139"/>
    <w:rsid w:val="00B92161"/>
    <w:rsid w:val="00C318A3"/>
    <w:rsid w:val="00C32CBE"/>
    <w:rsid w:val="00C3723A"/>
    <w:rsid w:val="00C8038C"/>
    <w:rsid w:val="00D32282"/>
    <w:rsid w:val="00D43ED5"/>
    <w:rsid w:val="00DA0205"/>
    <w:rsid w:val="00E83EAB"/>
    <w:rsid w:val="00E92168"/>
    <w:rsid w:val="00EA39F1"/>
    <w:rsid w:val="00EB205B"/>
    <w:rsid w:val="00F10D21"/>
    <w:rsid w:val="00F55C5C"/>
    <w:rsid w:val="00F6638D"/>
    <w:rsid w:val="00F92809"/>
    <w:rsid w:val="00FE2E50"/>
    <w:rsid w:val="00FF4A1E"/>
    <w:rsid w:val="03062812"/>
    <w:rsid w:val="04767755"/>
    <w:rsid w:val="05545C3F"/>
    <w:rsid w:val="06AA53E9"/>
    <w:rsid w:val="06F7330F"/>
    <w:rsid w:val="073B78A6"/>
    <w:rsid w:val="07BF7CD7"/>
    <w:rsid w:val="08227D38"/>
    <w:rsid w:val="088A27F8"/>
    <w:rsid w:val="09914F90"/>
    <w:rsid w:val="0A9C6FBC"/>
    <w:rsid w:val="0AC16C76"/>
    <w:rsid w:val="0AF93AA3"/>
    <w:rsid w:val="0B94735D"/>
    <w:rsid w:val="0BA77754"/>
    <w:rsid w:val="0BB32B05"/>
    <w:rsid w:val="0C9A06AC"/>
    <w:rsid w:val="0D920FA8"/>
    <w:rsid w:val="0F3F3BAE"/>
    <w:rsid w:val="0F6A62FF"/>
    <w:rsid w:val="13332C18"/>
    <w:rsid w:val="13D25847"/>
    <w:rsid w:val="1424305F"/>
    <w:rsid w:val="145A1E3D"/>
    <w:rsid w:val="15ED4901"/>
    <w:rsid w:val="15FE22A5"/>
    <w:rsid w:val="162B5549"/>
    <w:rsid w:val="16CD7843"/>
    <w:rsid w:val="1712247A"/>
    <w:rsid w:val="17CA5C3F"/>
    <w:rsid w:val="186047C6"/>
    <w:rsid w:val="1AA312DA"/>
    <w:rsid w:val="1B6F7C86"/>
    <w:rsid w:val="1B751D62"/>
    <w:rsid w:val="1C9C00D8"/>
    <w:rsid w:val="1D37134A"/>
    <w:rsid w:val="1D5D3933"/>
    <w:rsid w:val="1D5E49C4"/>
    <w:rsid w:val="1D647F5C"/>
    <w:rsid w:val="1E791A42"/>
    <w:rsid w:val="1F113DE8"/>
    <w:rsid w:val="1F8671D6"/>
    <w:rsid w:val="20E45613"/>
    <w:rsid w:val="214445B4"/>
    <w:rsid w:val="233850DB"/>
    <w:rsid w:val="24494D4E"/>
    <w:rsid w:val="255928CE"/>
    <w:rsid w:val="26DC3E77"/>
    <w:rsid w:val="28067366"/>
    <w:rsid w:val="283741EC"/>
    <w:rsid w:val="284808D3"/>
    <w:rsid w:val="288D3FB4"/>
    <w:rsid w:val="28E41EA2"/>
    <w:rsid w:val="28E76EB0"/>
    <w:rsid w:val="299B34A8"/>
    <w:rsid w:val="29CA3240"/>
    <w:rsid w:val="29CB1796"/>
    <w:rsid w:val="2A314D30"/>
    <w:rsid w:val="2B372839"/>
    <w:rsid w:val="2B584D23"/>
    <w:rsid w:val="2C4B66C6"/>
    <w:rsid w:val="2C655694"/>
    <w:rsid w:val="2C807C2C"/>
    <w:rsid w:val="2CAD5467"/>
    <w:rsid w:val="2D560EA9"/>
    <w:rsid w:val="2DF10B69"/>
    <w:rsid w:val="2E8B4E40"/>
    <w:rsid w:val="2F176CAA"/>
    <w:rsid w:val="2F3922ED"/>
    <w:rsid w:val="2F54697C"/>
    <w:rsid w:val="2FE46C8B"/>
    <w:rsid w:val="33AF2738"/>
    <w:rsid w:val="33ED4D8A"/>
    <w:rsid w:val="342C512A"/>
    <w:rsid w:val="343437F4"/>
    <w:rsid w:val="355616FC"/>
    <w:rsid w:val="35A51A49"/>
    <w:rsid w:val="36CB3B24"/>
    <w:rsid w:val="373F3DC0"/>
    <w:rsid w:val="37D03F35"/>
    <w:rsid w:val="38505F3F"/>
    <w:rsid w:val="3910308A"/>
    <w:rsid w:val="3A220723"/>
    <w:rsid w:val="3A554D67"/>
    <w:rsid w:val="3A7365E9"/>
    <w:rsid w:val="3ADA3900"/>
    <w:rsid w:val="3C3D3B54"/>
    <w:rsid w:val="3DF97884"/>
    <w:rsid w:val="3FA358B3"/>
    <w:rsid w:val="40016210"/>
    <w:rsid w:val="42AB308F"/>
    <w:rsid w:val="436F045A"/>
    <w:rsid w:val="43E20D4E"/>
    <w:rsid w:val="44401B05"/>
    <w:rsid w:val="459D6754"/>
    <w:rsid w:val="45F605D6"/>
    <w:rsid w:val="46115240"/>
    <w:rsid w:val="472800D2"/>
    <w:rsid w:val="47D46773"/>
    <w:rsid w:val="48D35D47"/>
    <w:rsid w:val="49804BB7"/>
    <w:rsid w:val="49C55483"/>
    <w:rsid w:val="4A99399D"/>
    <w:rsid w:val="4B6117BE"/>
    <w:rsid w:val="4C125EA9"/>
    <w:rsid w:val="4C8C0823"/>
    <w:rsid w:val="4CAC51C8"/>
    <w:rsid w:val="4CE2739F"/>
    <w:rsid w:val="4E134F5E"/>
    <w:rsid w:val="4E726C8A"/>
    <w:rsid w:val="4F180CEE"/>
    <w:rsid w:val="4F3953C0"/>
    <w:rsid w:val="50A91C42"/>
    <w:rsid w:val="51361CF3"/>
    <w:rsid w:val="51D222F8"/>
    <w:rsid w:val="522B69F5"/>
    <w:rsid w:val="528D6F42"/>
    <w:rsid w:val="52B157BA"/>
    <w:rsid w:val="52E33BFB"/>
    <w:rsid w:val="52FC440D"/>
    <w:rsid w:val="5320113A"/>
    <w:rsid w:val="534B7AAD"/>
    <w:rsid w:val="53FB75F5"/>
    <w:rsid w:val="54A773D0"/>
    <w:rsid w:val="55AB06CF"/>
    <w:rsid w:val="565F5E5C"/>
    <w:rsid w:val="56DD395F"/>
    <w:rsid w:val="57512096"/>
    <w:rsid w:val="577E1C77"/>
    <w:rsid w:val="57AD4454"/>
    <w:rsid w:val="58AE3ADE"/>
    <w:rsid w:val="597816B9"/>
    <w:rsid w:val="59E42157"/>
    <w:rsid w:val="5A3269F0"/>
    <w:rsid w:val="5B33464B"/>
    <w:rsid w:val="5B7F15A7"/>
    <w:rsid w:val="5BA0543A"/>
    <w:rsid w:val="5C6368E3"/>
    <w:rsid w:val="5C9C6B7D"/>
    <w:rsid w:val="5E2A537D"/>
    <w:rsid w:val="5E580235"/>
    <w:rsid w:val="5EB73752"/>
    <w:rsid w:val="5F515F07"/>
    <w:rsid w:val="5FFF01E9"/>
    <w:rsid w:val="61FD4FCA"/>
    <w:rsid w:val="6274100F"/>
    <w:rsid w:val="635F5BAF"/>
    <w:rsid w:val="639503B6"/>
    <w:rsid w:val="63FC5B6D"/>
    <w:rsid w:val="642E61A6"/>
    <w:rsid w:val="655039E3"/>
    <w:rsid w:val="669940C7"/>
    <w:rsid w:val="66A00E7A"/>
    <w:rsid w:val="66B0318A"/>
    <w:rsid w:val="67357121"/>
    <w:rsid w:val="676441FC"/>
    <w:rsid w:val="677867DD"/>
    <w:rsid w:val="688D746C"/>
    <w:rsid w:val="6A3F1B80"/>
    <w:rsid w:val="6A8F1E96"/>
    <w:rsid w:val="6ACC54E4"/>
    <w:rsid w:val="6AD3343E"/>
    <w:rsid w:val="6B1F6B9D"/>
    <w:rsid w:val="6CE02CE9"/>
    <w:rsid w:val="6D7E61AA"/>
    <w:rsid w:val="6D972C38"/>
    <w:rsid w:val="6D9D4F09"/>
    <w:rsid w:val="6F0A5303"/>
    <w:rsid w:val="6FA945AA"/>
    <w:rsid w:val="6FDA0BF0"/>
    <w:rsid w:val="72C83B71"/>
    <w:rsid w:val="72E2497A"/>
    <w:rsid w:val="73347FE8"/>
    <w:rsid w:val="737E1149"/>
    <w:rsid w:val="73F126D5"/>
    <w:rsid w:val="73FC59E9"/>
    <w:rsid w:val="74065D37"/>
    <w:rsid w:val="75113ED8"/>
    <w:rsid w:val="76011F10"/>
    <w:rsid w:val="767B2358"/>
    <w:rsid w:val="76986968"/>
    <w:rsid w:val="76D6249B"/>
    <w:rsid w:val="78AA635F"/>
    <w:rsid w:val="78B5372F"/>
    <w:rsid w:val="7961380D"/>
    <w:rsid w:val="79627876"/>
    <w:rsid w:val="79C9376C"/>
    <w:rsid w:val="7A667EDF"/>
    <w:rsid w:val="7A7C4681"/>
    <w:rsid w:val="7A9D199E"/>
    <w:rsid w:val="7B0E6C01"/>
    <w:rsid w:val="7B820D29"/>
    <w:rsid w:val="7BC86C59"/>
    <w:rsid w:val="7C94303D"/>
    <w:rsid w:val="7E09225F"/>
    <w:rsid w:val="7EC44130"/>
    <w:rsid w:val="7FE942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qFormat/>
    <w:uiPriority w:val="0"/>
    <w:pPr>
      <w:widowControl w:val="0"/>
      <w:ind w:firstLine="420" w:firstLineChars="200"/>
      <w:jc w:val="both"/>
    </w:pPr>
    <w:rPr>
      <w:rFonts w:ascii="华文新魏" w:hAnsi="Times New Roman" w:eastAsia="华文新魏" w:cs="Times New Roman"/>
      <w:sz w:val="32"/>
      <w:lang w:val="en-US" w:eastAsia="zh-CN" w:bidi="ar-SA"/>
    </w:rPr>
  </w:style>
  <w:style w:type="paragraph" w:styleId="6">
    <w:name w:val="Normal Indent"/>
    <w:basedOn w:val="1"/>
    <w:next w:val="7"/>
    <w:qFormat/>
    <w:uiPriority w:val="0"/>
    <w:pPr>
      <w:adjustRightInd w:val="0"/>
      <w:spacing w:line="312" w:lineRule="atLeast"/>
      <w:ind w:firstLine="420"/>
      <w:textAlignment w:val="baseline"/>
    </w:pPr>
    <w:rPr>
      <w:kern w:val="0"/>
    </w:rPr>
  </w:style>
  <w:style w:type="paragraph" w:styleId="7">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3"/>
    <w:basedOn w:val="1"/>
    <w:unhideWhenUsed/>
    <w:qFormat/>
    <w:uiPriority w:val="99"/>
    <w:pPr>
      <w:spacing w:after="120"/>
    </w:pPr>
    <w:rPr>
      <w:sz w:val="16"/>
      <w:szCs w:val="16"/>
    </w:rPr>
  </w:style>
  <w:style w:type="paragraph" w:styleId="9">
    <w:name w:val="Body Text"/>
    <w:basedOn w:val="1"/>
    <w:next w:val="1"/>
    <w:qFormat/>
    <w:uiPriority w:val="0"/>
    <w:rPr>
      <w:rFonts w:ascii="Times New Roman" w:hAnsi="Times New Roman" w:eastAsia="经典中圆繁" w:cs="Times New Roman"/>
      <w:sz w:val="28"/>
      <w:szCs w:val="24"/>
    </w:rPr>
  </w:style>
  <w:style w:type="paragraph" w:styleId="10">
    <w:name w:val="toc 3"/>
    <w:basedOn w:val="1"/>
    <w:next w:val="1"/>
    <w:qFormat/>
    <w:uiPriority w:val="39"/>
    <w:pPr>
      <w:ind w:left="840" w:leftChars="400"/>
    </w:pPr>
  </w:style>
  <w:style w:type="paragraph" w:styleId="11">
    <w:name w:val="Plain Text"/>
    <w:basedOn w:val="1"/>
    <w:link w:val="25"/>
    <w:qFormat/>
    <w:uiPriority w:val="0"/>
    <w:rPr>
      <w:rFonts w:ascii="宋体" w:hAnsi="Courier New"/>
      <w:szCs w:val="20"/>
    </w:rPr>
  </w:style>
  <w:style w:type="paragraph" w:styleId="12">
    <w:name w:val="Date"/>
    <w:basedOn w:val="1"/>
    <w:next w:val="1"/>
    <w:link w:val="26"/>
    <w:qFormat/>
    <w:uiPriority w:val="0"/>
    <w:pPr>
      <w:widowControl/>
    </w:pPr>
    <w:rPr>
      <w:rFonts w:ascii="宋体" w:hAnsi="Courier New"/>
      <w:sz w:val="28"/>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toc 1"/>
    <w:basedOn w:val="1"/>
    <w:next w:val="1"/>
    <w:qFormat/>
    <w:uiPriority w:val="39"/>
  </w:style>
  <w:style w:type="paragraph" w:styleId="15">
    <w:name w:val="toc 2"/>
    <w:basedOn w:val="1"/>
    <w:next w:val="1"/>
    <w:qFormat/>
    <w:uiPriority w:val="39"/>
    <w:pPr>
      <w:ind w:left="420" w:leftChars="200"/>
    </w:p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link w:val="27"/>
    <w:qFormat/>
    <w:uiPriority w:val="0"/>
    <w:pPr>
      <w:spacing w:before="240" w:after="60"/>
      <w:jc w:val="center"/>
      <w:outlineLvl w:val="0"/>
    </w:pPr>
    <w:rPr>
      <w:rFonts w:ascii="Cambria" w:hAnsi="Cambria" w:cs="Times New Roman"/>
      <w:b/>
      <w:bCs/>
      <w:sz w:val="32"/>
      <w:szCs w:val="32"/>
    </w:rPr>
  </w:style>
  <w:style w:type="table" w:styleId="19">
    <w:name w:val="Table Grid"/>
    <w:qFormat/>
    <w:uiPriority w:val="0"/>
    <w:pPr>
      <w:widowControl w:val="0"/>
      <w:jc w:val="both"/>
    </w:pPr>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bCs/>
    </w:rPr>
  </w:style>
  <w:style w:type="character" w:styleId="22">
    <w:name w:val="page number"/>
    <w:basedOn w:val="20"/>
    <w:qFormat/>
    <w:uiPriority w:val="0"/>
  </w:style>
  <w:style w:type="character" w:styleId="23">
    <w:name w:val="Hyperlink"/>
    <w:basedOn w:val="20"/>
    <w:qFormat/>
    <w:uiPriority w:val="99"/>
    <w:rPr>
      <w:color w:val="0000FF"/>
      <w:u w:val="single"/>
    </w:rPr>
  </w:style>
  <w:style w:type="character" w:customStyle="1" w:styleId="24">
    <w:name w:val="页眉 Char"/>
    <w:basedOn w:val="20"/>
    <w:link w:val="7"/>
    <w:qFormat/>
    <w:uiPriority w:val="99"/>
    <w:rPr>
      <w:kern w:val="2"/>
      <w:sz w:val="18"/>
      <w:szCs w:val="18"/>
    </w:rPr>
  </w:style>
  <w:style w:type="character" w:customStyle="1" w:styleId="25">
    <w:name w:val="纯文本 Char"/>
    <w:link w:val="11"/>
    <w:qFormat/>
    <w:locked/>
    <w:uiPriority w:val="0"/>
    <w:rPr>
      <w:rFonts w:ascii="宋体" w:hAnsi="Courier New" w:eastAsia="宋体"/>
      <w:kern w:val="2"/>
      <w:sz w:val="21"/>
      <w:lang w:val="en-US" w:eastAsia="zh-CN" w:bidi="ar-SA"/>
    </w:rPr>
  </w:style>
  <w:style w:type="character" w:customStyle="1" w:styleId="26">
    <w:name w:val="日期 Char"/>
    <w:basedOn w:val="20"/>
    <w:link w:val="12"/>
    <w:qFormat/>
    <w:uiPriority w:val="0"/>
    <w:rPr>
      <w:rFonts w:ascii="宋体" w:hAnsi="Courier New"/>
      <w:kern w:val="2"/>
      <w:sz w:val="28"/>
    </w:rPr>
  </w:style>
  <w:style w:type="character" w:customStyle="1" w:styleId="27">
    <w:name w:val="标题 Char"/>
    <w:basedOn w:val="20"/>
    <w:link w:val="17"/>
    <w:qFormat/>
    <w:uiPriority w:val="0"/>
    <w:rPr>
      <w:rFonts w:ascii="Cambria" w:hAnsi="Cambria" w:cs="Times New Roman"/>
      <w:b/>
      <w:bCs/>
      <w:kern w:val="2"/>
      <w:sz w:val="32"/>
      <w:szCs w:val="32"/>
    </w:rPr>
  </w:style>
  <w:style w:type="character" w:customStyle="1" w:styleId="28">
    <w:name w:val="editinput"/>
    <w:basedOn w:val="20"/>
    <w:qFormat/>
    <w:uiPriority w:val="0"/>
  </w:style>
  <w:style w:type="character" w:customStyle="1" w:styleId="29">
    <w:name w:val="edittexttarea"/>
    <w:basedOn w:val="20"/>
    <w:qFormat/>
    <w:uiPriority w:val="0"/>
  </w:style>
  <w:style w:type="paragraph" w:customStyle="1" w:styleId="3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1">
    <w:name w:val="_Style 30"/>
    <w:basedOn w:val="3"/>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32">
    <w:name w:val="样式3"/>
    <w:basedOn w:val="11"/>
    <w:qFormat/>
    <w:uiPriority w:val="0"/>
    <w:pPr>
      <w:spacing w:line="0" w:lineRule="atLeast"/>
      <w:outlineLvl w:val="0"/>
    </w:pPr>
    <w:rPr>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68</Pages>
  <Words>39076</Words>
  <Characters>40438</Characters>
  <Lines>299</Lines>
  <Paragraphs>84</Paragraphs>
  <TotalTime>28</TotalTime>
  <ScaleCrop>false</ScaleCrop>
  <LinksUpToDate>false</LinksUpToDate>
  <CharactersWithSpaces>42128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2019-03-22T02:59:00Z</dcterms:created>
  <dc:creator>Hp</dc:creator>
  <cp:lastModifiedBy>Administrator</cp:lastModifiedBy>
  <cp:lastPrinted>2019-03-21T01:42:00Z</cp:lastPrinted>
  <dcterms:modified xsi:type="dcterms:W3CDTF">2022-12-25T13:19:28Z</dcterms:modified>
  <dc:title>旅游车采购项目竞争性谈判文件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E4B6D0B09E9049768608A2558943295C</vt:lpwstr>
  </property>
</Properties>
</file>