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color w:val="auto"/>
          <w:sz w:val="32"/>
          <w:szCs w:val="32"/>
        </w:rPr>
      </w:pPr>
      <w:r>
        <w:rPr>
          <w:rFonts w:hint="eastAsia"/>
          <w:color w:val="auto"/>
          <w:sz w:val="32"/>
          <w:szCs w:val="32"/>
          <w:lang w:eastAsia="zh-CN"/>
        </w:rPr>
        <w:t>宁德市三都澳新区开发建设有限公司</w:t>
      </w:r>
      <w:r>
        <w:rPr>
          <w:color w:val="auto"/>
          <w:sz w:val="32"/>
          <w:szCs w:val="32"/>
        </w:rPr>
        <w:t>关于</w:t>
      </w:r>
      <w:r>
        <w:rPr>
          <w:rFonts w:hint="eastAsia"/>
          <w:color w:val="auto"/>
          <w:sz w:val="32"/>
          <w:szCs w:val="32"/>
          <w:lang w:eastAsia="zh-CN"/>
        </w:rPr>
        <w:t>华侨大厦商务办公楼7-9层厨房用具、办公家具询价采购项目（</w:t>
      </w:r>
      <w:r>
        <w:rPr>
          <w:rFonts w:hint="eastAsia"/>
          <w:color w:val="auto"/>
          <w:sz w:val="32"/>
          <w:szCs w:val="32"/>
          <w:lang w:val="en-US" w:eastAsia="zh-CN"/>
        </w:rPr>
        <w:t>合同包二</w:t>
      </w:r>
      <w:r>
        <w:rPr>
          <w:rFonts w:hint="eastAsia"/>
          <w:color w:val="auto"/>
          <w:sz w:val="32"/>
          <w:szCs w:val="32"/>
          <w:lang w:eastAsia="zh-CN"/>
        </w:rPr>
        <w:t>）</w:t>
      </w:r>
      <w:r>
        <w:rPr>
          <w:rFonts w:hint="eastAsia"/>
          <w:color w:val="auto"/>
          <w:sz w:val="32"/>
          <w:szCs w:val="32"/>
          <w:lang w:val="en-US" w:eastAsia="zh-CN"/>
        </w:rPr>
        <w:t>第二次</w:t>
      </w:r>
      <w:r>
        <w:rPr>
          <w:color w:val="auto"/>
          <w:sz w:val="32"/>
          <w:szCs w:val="32"/>
        </w:rPr>
        <w:t>更正公告</w:t>
      </w:r>
    </w:p>
    <w:p/>
    <w:p>
      <w:pPr>
        <w:pStyle w:val="7"/>
        <w:keepNext w:val="0"/>
        <w:keepLines w:val="0"/>
        <w:pageBreakBefore w:val="0"/>
        <w:widowControl/>
        <w:suppressLineNumbers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rPr>
      </w:pPr>
      <w:r>
        <w:rPr>
          <w:rStyle w:val="10"/>
          <w:rFonts w:hint="eastAsia" w:ascii="宋体" w:hAnsi="宋体" w:eastAsia="宋体" w:cs="宋体"/>
          <w:color w:val="auto"/>
          <w:sz w:val="21"/>
          <w:szCs w:val="21"/>
        </w:rPr>
        <w:t>一、项目基本情况</w:t>
      </w:r>
    </w:p>
    <w:p>
      <w:pPr>
        <w:pStyle w:val="7"/>
        <w:keepNext w:val="0"/>
        <w:keepLines w:val="0"/>
        <w:pageBreakBefore w:val="0"/>
        <w:widowControl/>
        <w:suppressLineNumbers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原公告的采购项目编号：</w:t>
      </w:r>
      <w:r>
        <w:rPr>
          <w:rFonts w:hint="eastAsia" w:ascii="宋体" w:hAnsi="宋体" w:cs="宋体"/>
          <w:color w:val="auto"/>
          <w:sz w:val="21"/>
          <w:szCs w:val="21"/>
          <w:lang w:eastAsia="zh-CN"/>
        </w:rPr>
        <w:t>NDYXCQ[XJ]2022009（2）</w:t>
      </w:r>
      <w:r>
        <w:rPr>
          <w:rFonts w:hint="eastAsia" w:ascii="宋体" w:hAnsi="宋体" w:eastAsia="宋体" w:cs="宋体"/>
          <w:color w:val="auto"/>
          <w:sz w:val="21"/>
          <w:szCs w:val="21"/>
        </w:rPr>
        <w:t>　　　　　</w:t>
      </w:r>
    </w:p>
    <w:p>
      <w:pPr>
        <w:pStyle w:val="7"/>
        <w:keepNext w:val="0"/>
        <w:keepLines w:val="0"/>
        <w:pageBreakBefore w:val="0"/>
        <w:widowControl/>
        <w:suppressLineNumbers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原公告的采购项目名称：</w:t>
      </w:r>
      <w:r>
        <w:rPr>
          <w:rFonts w:hint="eastAsia" w:ascii="宋体" w:hAnsi="宋体" w:cs="宋体"/>
          <w:color w:val="auto"/>
          <w:sz w:val="21"/>
          <w:szCs w:val="21"/>
          <w:lang w:eastAsia="zh-CN"/>
        </w:rPr>
        <w:t>华侨大厦商务办公楼7-9层厨房用具、办公家具询价采购项目</w:t>
      </w:r>
      <w:r>
        <w:rPr>
          <w:rFonts w:hint="eastAsia" w:ascii="宋体" w:hAnsi="宋体" w:eastAsia="宋体" w:cs="宋体"/>
          <w:color w:val="auto"/>
          <w:sz w:val="21"/>
          <w:szCs w:val="21"/>
        </w:rPr>
        <w:t>　　　　</w:t>
      </w:r>
    </w:p>
    <w:p>
      <w:pPr>
        <w:pStyle w:val="7"/>
        <w:keepNext w:val="0"/>
        <w:keepLines w:val="0"/>
        <w:pageBreakBefore w:val="0"/>
        <w:widowControl/>
        <w:suppressLineNumbers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首次公告日期：</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日</w:t>
      </w:r>
      <w:r>
        <w:rPr>
          <w:rFonts w:hint="eastAsia" w:ascii="宋体" w:hAnsi="宋体" w:eastAsia="宋体" w:cs="宋体"/>
          <w:color w:val="auto"/>
          <w:sz w:val="21"/>
          <w:szCs w:val="21"/>
        </w:rPr>
        <w:t>　　　　　　</w:t>
      </w:r>
    </w:p>
    <w:p>
      <w:pPr>
        <w:keepNext w:val="0"/>
        <w:keepLines w:val="0"/>
        <w:pageBreakBefore w:val="0"/>
        <w:numPr>
          <w:ilvl w:val="-1"/>
          <w:numId w:val="0"/>
        </w:numPr>
        <w:kinsoku/>
        <w:wordWrap/>
        <w:overflowPunct/>
        <w:topLinePunct w:val="0"/>
        <w:autoSpaceDE/>
        <w:autoSpaceDN/>
        <w:bidi w:val="0"/>
        <w:adjustRightInd/>
        <w:snapToGrid w:val="0"/>
        <w:spacing w:line="240" w:lineRule="auto"/>
        <w:jc w:val="left"/>
        <w:textAlignment w:val="auto"/>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lang w:val="en-US" w:eastAsia="zh-CN"/>
        </w:rPr>
        <w:t>二、</w:t>
      </w:r>
      <w:r>
        <w:rPr>
          <w:rStyle w:val="10"/>
          <w:rFonts w:hint="eastAsia" w:ascii="宋体" w:hAnsi="宋体" w:eastAsia="宋体" w:cs="宋体"/>
          <w:color w:val="auto"/>
          <w:sz w:val="21"/>
          <w:szCs w:val="21"/>
        </w:rPr>
        <w:t>更正信息</w:t>
      </w:r>
    </w:p>
    <w:p>
      <w:pPr>
        <w:pStyle w:val="7"/>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更正（补充）事项及内容</w:t>
      </w:r>
      <w:r>
        <w:rPr>
          <w:rFonts w:hint="eastAsia" w:ascii="宋体" w:hAnsi="宋体" w:eastAsia="宋体" w:cs="宋体"/>
          <w:color w:val="auto"/>
          <w:sz w:val="21"/>
          <w:szCs w:val="21"/>
          <w:lang w:val="en-US" w:eastAsia="zh-CN"/>
        </w:rPr>
        <w:t>：</w:t>
      </w:r>
      <w:bookmarkStart w:id="1" w:name="_GoBack"/>
      <w:bookmarkEnd w:id="1"/>
    </w:p>
    <w:p>
      <w:pPr>
        <w:pStyle w:val="7"/>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原</w:t>
      </w:r>
      <w:r>
        <w:rPr>
          <w:rFonts w:hint="eastAsia" w:ascii="宋体" w:hAnsi="宋体" w:cs="宋体"/>
          <w:color w:val="auto"/>
          <w:sz w:val="21"/>
          <w:szCs w:val="21"/>
          <w:lang w:val="en-US" w:eastAsia="zh-CN"/>
        </w:rPr>
        <w:t>询价通知书</w:t>
      </w:r>
      <w:bookmarkStart w:id="0" w:name="_Toc2796348"/>
      <w:r>
        <w:rPr>
          <w:rFonts w:hint="eastAsia" w:ascii="宋体" w:hAnsi="宋体" w:eastAsia="宋体" w:cs="宋体"/>
          <w:color w:val="auto"/>
          <w:sz w:val="21"/>
          <w:szCs w:val="21"/>
        </w:rPr>
        <w:t>第四章</w:t>
      </w:r>
      <w:r>
        <w:rPr>
          <w:rFonts w:hint="eastAsia" w:ascii="宋体" w:hAnsi="宋体" w:cs="宋体"/>
          <w:color w:val="auto"/>
          <w:sz w:val="21"/>
          <w:szCs w:val="21"/>
          <w:lang w:eastAsia="zh-CN"/>
        </w:rPr>
        <w:t>《</w:t>
      </w:r>
      <w:r>
        <w:rPr>
          <w:rFonts w:hint="eastAsia" w:ascii="宋体" w:hAnsi="宋体" w:eastAsia="宋体" w:cs="宋体"/>
          <w:color w:val="auto"/>
          <w:sz w:val="21"/>
          <w:szCs w:val="21"/>
        </w:rPr>
        <w:t>询价内容及要求</w:t>
      </w:r>
      <w:bookmarkEnd w:id="0"/>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合同包2</w:t>
      </w:r>
      <w:r>
        <w:rPr>
          <w:rFonts w:hint="eastAsia" w:ascii="宋体" w:hAnsi="宋体" w:cs="宋体"/>
          <w:color w:val="auto"/>
          <w:sz w:val="21"/>
          <w:szCs w:val="21"/>
          <w:lang w:val="en-US" w:eastAsia="zh-CN"/>
        </w:rPr>
        <w:t>中：</w:t>
      </w:r>
    </w:p>
    <w:tbl>
      <w:tblPr>
        <w:tblStyle w:val="8"/>
        <w:tblW w:w="10493" w:type="dxa"/>
        <w:tblInd w:w="93" w:type="dxa"/>
        <w:shd w:val="clear" w:color="auto" w:fill="FFFFFF"/>
        <w:tblLayout w:type="fixed"/>
        <w:tblCellMar>
          <w:top w:w="0" w:type="dxa"/>
          <w:left w:w="108" w:type="dxa"/>
          <w:bottom w:w="0" w:type="dxa"/>
          <w:right w:w="108" w:type="dxa"/>
        </w:tblCellMar>
      </w:tblPr>
      <w:tblGrid>
        <w:gridCol w:w="639"/>
        <w:gridCol w:w="1239"/>
        <w:gridCol w:w="1248"/>
        <w:gridCol w:w="800"/>
        <w:gridCol w:w="633"/>
        <w:gridCol w:w="3933"/>
        <w:gridCol w:w="2001"/>
      </w:tblGrid>
      <w:tr>
        <w:tblPrEx>
          <w:shd w:val="clear" w:color="auto" w:fill="FFFFFF"/>
          <w:tblCellMar>
            <w:top w:w="0" w:type="dxa"/>
            <w:left w:w="108" w:type="dxa"/>
            <w:bottom w:w="0" w:type="dxa"/>
            <w:right w:w="108" w:type="dxa"/>
          </w:tblCellMar>
        </w:tblPrEx>
        <w:trPr>
          <w:trHeight w:val="737" w:hRule="atLeast"/>
        </w:trPr>
        <w:tc>
          <w:tcPr>
            <w:tcW w:w="63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737" w:hRule="atLeast"/>
        </w:trPr>
        <w:tc>
          <w:tcPr>
            <w:tcW w:w="63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A1</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电磁单头矮汤炉</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650*730（500+600）</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炉面板采用SUS304不锈钢板制作，面板≥1.5mm,采用一体成型面板防水设计。焊接拉力高达70.00kN以上，坚固耐用，清洁方便；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2、侧板、前板及后背板采用SUS304不锈钢制作，板材厚度≥1.0mm(实际厚度≥0.88mm)；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3、机芯采用全铜搭桥设计，多重安全保护设置，故障自动修复功能；磁电引擎，数字驱动，控制性能稳定有效延长使用寿命；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4、开关采用锌合金枪黑电镀，外观为不规则Z字型手柄开关，手柄呈平行四边形状；金属手感，支持≤310度17档光电磁控板灵敏度高、档位清晰手感好，火力细分加热，使火力更加热均匀，能够达到仿真火状态。</w:t>
            </w:r>
          </w:p>
          <w:p>
            <w:pPr>
              <w:keepNext w:val="0"/>
              <w:keepLines w:val="0"/>
              <w:widowControl/>
              <w:numPr>
                <w:ilvl w:val="0"/>
                <w:numId w:val="2"/>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PPS齿形线盘组件，磁强分布均匀不偏火；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6、超宽工作电压设计，运行更加稳定；</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7、供应商须在响应文件中提供有检验检测资质的机构出具的电磁灶沸水相关两项四菌检测报告复印件。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8、供应商须在响应文件中提供有检验检测资质的机构出具的具有依据SB/T 10548-2009热效率《商用电磁灶》，能效等级1级的检验报告复印件。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9、供应商须在响应文件中提供有检验检测资质的机构出具的具有依据SB/T 10548-2009 性能要求电磁灶锅具的偏置不影响其性能的检验报告复印件。</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10、有检验检测资质的机构出具的具有依据GB/T2423.2-2008《环境试验 第2部分：试验方法 试验N：温度变化》的检验告复印件。</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drawing>
                <wp:inline distT="0" distB="0" distL="114300" distR="114300">
                  <wp:extent cx="1066800" cy="1552575"/>
                  <wp:effectExtent l="0" t="0" r="0" b="9525"/>
                  <wp:docPr id="13" name="图片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
                          <pic:cNvPicPr>
                            <a:picLocks noChangeAspect="1"/>
                          </pic:cNvPicPr>
                        </pic:nvPicPr>
                        <pic:blipFill>
                          <a:blip r:embed="rId4"/>
                          <a:stretch>
                            <a:fillRect/>
                          </a:stretch>
                        </pic:blipFill>
                        <pic:spPr>
                          <a:xfrm>
                            <a:off x="0" y="0"/>
                            <a:ext cx="1066800" cy="1552575"/>
                          </a:xfrm>
                          <a:prstGeom prst="rect">
                            <a:avLst/>
                          </a:prstGeom>
                        </pic:spPr>
                      </pic:pic>
                    </a:graphicData>
                  </a:graphic>
                </wp:inline>
              </w:drawing>
            </w:r>
          </w:p>
        </w:tc>
      </w:tr>
      <w:tr>
        <w:tblPrEx>
          <w:tblCellMar>
            <w:top w:w="0" w:type="dxa"/>
            <w:left w:w="108" w:type="dxa"/>
            <w:bottom w:w="0" w:type="dxa"/>
            <w:right w:w="108" w:type="dxa"/>
          </w:tblCellMar>
        </w:tblPrEx>
        <w:trPr>
          <w:trHeight w:val="737" w:hRule="atLeast"/>
        </w:trPr>
        <w:tc>
          <w:tcPr>
            <w:tcW w:w="63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A4</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电磁单大锅电磁炉</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1000*1100*（800+300）</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1、整机采用 SUS304 外壳采用不锈钢板材≥1.5mm制作，台面一体成型防水设计，四面可直接喷淋。焊接拉力高达70.00kN以上，坚固耐用，清洁方便。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2、数字集成机芯、采用 ARM 内核的 32 位数字处理器作控制核心芯片、双磁电引擎，数字驱动、电路板采用全贴片工艺自动化生产、多级防护三重立体防辐射外壳屏蔽。同时还具有至少18重安全保护设置，具有至少28项故障自动修复功能。热风对流风道设计，散热快、超静音风机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3、开关采用锌合金枪黑电镀，外观为不规则Z字型手柄开关，手柄呈平行四边形状；金属手感，支持≤310度17档光电磁控板灵敏度高、档位清晰手感好，火力细分加热，使火力更加热均匀，能够达到仿真火状态。                                                                  尺寸（mm）（正负不超过2mm）160*95（垫片直径）*50 ；手柄宽：24mm；光电磁控板白盒：83*70*75mm。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PPS齿形线盘组件，磁强分布均匀不偏火。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b w:val="0"/>
                <w:bCs w:val="0"/>
                <w:i w:val="0"/>
                <w:iCs w:val="0"/>
                <w:color w:val="auto"/>
                <w:kern w:val="0"/>
                <w:sz w:val="21"/>
                <w:szCs w:val="21"/>
                <w:highlight w:val="none"/>
                <w:u w:val="none"/>
                <w:lang w:val="en-US" w:eastAsia="zh-CN" w:bidi="ar"/>
              </w:rPr>
              <w:t>供应商须在响应文件中提供有检验检测资质的机构出具的GB/T17626.4-2008《电磁兼容 试验和测量技术电快速瞬变脉冲群抗扰度试验》 ；GB/T17626.5-2008《电磁兼容 试验和测量技术浪涌（冲击）抗扰度试验》的报告复印件。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供应商须在响应文件中提供有检验检测资质的机构出具的焊接拉力试验检测报告复印件。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7、供应商须在响应文件中提供有检验检测资质的机构出具的该产品有相关实用新型报告复印件。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8、＃443铁素体不锈钢，需模具压制圆锅形状，Cr≥21%含量。                                        </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drawing>
                <wp:inline distT="0" distB="0" distL="114300" distR="114300">
                  <wp:extent cx="1190625" cy="1314450"/>
                  <wp:effectExtent l="0" t="0" r="9525" b="0"/>
                  <wp:docPr id="12" name="图片 12" descr="QQ图片202205121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20512191552"/>
                          <pic:cNvPicPr>
                            <a:picLocks noChangeAspect="1"/>
                          </pic:cNvPicPr>
                        </pic:nvPicPr>
                        <pic:blipFill>
                          <a:blip r:embed="rId5"/>
                          <a:stretch>
                            <a:fillRect/>
                          </a:stretch>
                        </pic:blipFill>
                        <pic:spPr>
                          <a:xfrm>
                            <a:off x="0" y="0"/>
                            <a:ext cx="1190625" cy="1314450"/>
                          </a:xfrm>
                          <a:prstGeom prst="rect">
                            <a:avLst/>
                          </a:prstGeom>
                        </pic:spPr>
                      </pic:pic>
                    </a:graphicData>
                  </a:graphic>
                </wp:inline>
              </w:drawing>
            </w:r>
          </w:p>
        </w:tc>
      </w:tr>
      <w:tr>
        <w:tblPrEx>
          <w:shd w:val="clear" w:color="auto" w:fill="FFFFFF"/>
          <w:tblCellMar>
            <w:top w:w="0" w:type="dxa"/>
            <w:left w:w="108" w:type="dxa"/>
            <w:bottom w:w="0" w:type="dxa"/>
            <w:right w:w="108" w:type="dxa"/>
          </w:tblCellMar>
        </w:tblPrEx>
        <w:trPr>
          <w:trHeight w:val="737" w:hRule="atLeast"/>
        </w:trPr>
        <w:tc>
          <w:tcPr>
            <w:tcW w:w="63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E08</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低空排放净化器</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6000风量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3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 1、供应商提供的油烟净化器智能数字高频高压电源应依据GB/T2423.10-2008测试标准，对振动试验测试合格，供应商须在响应文件中提供有检验检测资质的机构出具的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所投静电式餐饮油烟净化设备满足：（1）高压开路保护，当高压电源的输出与过滤组件的电极持续开路超过3S时，高压电源应能自动停止高压输出；（2）短路保护，当过滤组件的电极持续短路超过3S时，高压电源应能自动停止高压输出。供应商须在响应文件中提供有检验检测资质的机构出具的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供应商提供的油烟净化器智能数字高频高压电源应依据GB/T2423.22-2012测试标准，对“温度变化试验”在测试温度为-40℃~100℃；温度速率为10℃/min；驻留时间为30分钟；测试结果合格，需提有检验检测资质的机构出具的供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4.供应商提供的静电式餐饮油烟净化设备产品应依据GB/T 14295-2019标准，产品检验结果须通过计数效率(0.3-1.0)µm≥93%、(1.0-3.0)µm≥96%、(3.0-10.0)µm≥98%，检验结果均符合，供应商须在响应文件中提供带CMA和CNAS标识的检测报告复印件佐证，未提供或提供不齐全的响应无效；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5.供应商提供的静电式餐饮油烟净化设备（电场）盐雾测试依据GB/T 2423.17-2008测试标准，在溶液浓度50g±5g/L,溶液PH值6.5～7.2测试条件下连续喷雾96小时，清洗后放置1小时以上，电场材质防护等级（GB/T 6461-2002或ISO 10289:1999标准）为9级。供应商须在响应文件中提供带 CMA和CNAS 标识的检测报告复印件佐证，未提供或提供不齐全的响应无效。</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bl>
    <w:p>
      <w:pPr>
        <w:rPr>
          <w:rFonts w:hint="eastAsia" w:ascii="宋体" w:hAnsi="宋体" w:eastAsia="宋体" w:cs="宋体"/>
          <w:b/>
          <w:bCs/>
          <w:color w:val="auto"/>
          <w:sz w:val="21"/>
          <w:szCs w:val="21"/>
          <w:highlight w:val="none"/>
          <w:lang w:val="en-US" w:eastAsia="zh-CN"/>
        </w:rPr>
      </w:pPr>
      <w:r>
        <w:rPr>
          <w:rStyle w:val="10"/>
          <w:rFonts w:hint="eastAsia" w:ascii="宋体" w:hAnsi="宋体" w:eastAsia="宋体" w:cs="宋体"/>
          <w:color w:val="auto"/>
          <w:highlight w:val="none"/>
        </w:rPr>
        <w:t>★</w:t>
      </w:r>
      <w:r>
        <w:rPr>
          <w:rFonts w:hint="eastAsia" w:ascii="宋体" w:hAnsi="宋体" w:eastAsia="宋体" w:cs="宋体"/>
          <w:b/>
          <w:bCs/>
          <w:color w:val="auto"/>
          <w:sz w:val="21"/>
          <w:szCs w:val="21"/>
          <w:highlight w:val="none"/>
          <w:lang w:val="en-US" w:eastAsia="zh-CN"/>
        </w:rPr>
        <w:t>合同包1、合同包2特别提示</w:t>
      </w:r>
    </w:p>
    <w:p>
      <w:pPr>
        <w:pStyle w:val="2"/>
        <w:rPr>
          <w:rFonts w:hint="eastAsia"/>
          <w:lang w:val="en-US" w:eastAsia="zh-CN"/>
        </w:rPr>
      </w:pPr>
    </w:p>
    <w:p>
      <w:pPr>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rPr>
        <w:t>除技术参数中另行要求的情况外，上述所有的规格、尺寸允许的误差范围为±0.5%。</w:t>
      </w:r>
    </w:p>
    <w:p>
      <w:pPr>
        <w:numPr>
          <w:ilvl w:val="0"/>
          <w:numId w:val="0"/>
        </w:numPr>
        <w:spacing w:line="50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（2）供应商的响应报价包含本次项目安装施工过程中实际所需全部辅材及安装服务费用。</w:t>
      </w:r>
    </w:p>
    <w:p>
      <w:pPr>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（3）上述货物图片和</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eastAsia="zh-CN"/>
        </w:rPr>
        <w:t>中具体</w:t>
      </w:r>
      <w:r>
        <w:rPr>
          <w:rFonts w:hint="eastAsia" w:ascii="宋体" w:hAnsi="宋体" w:eastAsia="宋体" w:cs="宋体"/>
          <w:b w:val="0"/>
          <w:bCs w:val="0"/>
          <w:color w:val="auto"/>
          <w:sz w:val="21"/>
          <w:szCs w:val="21"/>
          <w:highlight w:val="none"/>
        </w:rPr>
        <w:t>规格、尺寸</w:t>
      </w:r>
      <w:r>
        <w:rPr>
          <w:rFonts w:hint="eastAsia" w:ascii="宋体" w:hAnsi="宋体" w:eastAsia="宋体" w:cs="宋体"/>
          <w:b w:val="0"/>
          <w:bCs w:val="0"/>
          <w:color w:val="auto"/>
          <w:sz w:val="21"/>
          <w:szCs w:val="21"/>
          <w:highlight w:val="none"/>
          <w:lang w:eastAsia="zh-CN"/>
        </w:rPr>
        <w:t>描述有冲突的，以</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eastAsia="zh-CN"/>
        </w:rPr>
        <w:t>中具体</w:t>
      </w:r>
      <w:r>
        <w:rPr>
          <w:rFonts w:hint="eastAsia" w:ascii="宋体" w:hAnsi="宋体" w:eastAsia="宋体" w:cs="宋体"/>
          <w:b w:val="0"/>
          <w:bCs w:val="0"/>
          <w:color w:val="auto"/>
          <w:sz w:val="21"/>
          <w:szCs w:val="21"/>
          <w:highlight w:val="none"/>
        </w:rPr>
        <w:t>规格、尺寸</w:t>
      </w:r>
      <w:r>
        <w:rPr>
          <w:rFonts w:hint="eastAsia" w:ascii="宋体" w:hAnsi="宋体" w:eastAsia="宋体" w:cs="宋体"/>
          <w:b w:val="0"/>
          <w:bCs w:val="0"/>
          <w:color w:val="auto"/>
          <w:sz w:val="21"/>
          <w:szCs w:val="21"/>
          <w:highlight w:val="none"/>
          <w:lang w:eastAsia="zh-CN"/>
        </w:rPr>
        <w:t>描述为准。</w:t>
      </w:r>
    </w:p>
    <w:p>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上述提及的标准</w:t>
      </w:r>
      <w:r>
        <w:rPr>
          <w:rFonts w:hint="eastAsia" w:ascii="宋体" w:hAnsi="宋体" w:eastAsia="宋体" w:cs="宋体"/>
          <w:color w:val="auto"/>
          <w:szCs w:val="21"/>
          <w:highlight w:val="none"/>
        </w:rPr>
        <w:t>，若存在已被依法替换、废止等情况或与最新更新的</w:t>
      </w:r>
      <w:r>
        <w:rPr>
          <w:rFonts w:hint="eastAsia" w:ascii="宋体" w:hAnsi="宋体" w:eastAsia="宋体" w:cs="宋体"/>
          <w:color w:val="auto"/>
          <w:szCs w:val="21"/>
          <w:highlight w:val="none"/>
          <w:lang w:eastAsia="zh-CN"/>
        </w:rPr>
        <w:t>权威</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、标准</w:t>
      </w:r>
      <w:r>
        <w:rPr>
          <w:rFonts w:hint="eastAsia" w:ascii="宋体" w:hAnsi="宋体" w:eastAsia="宋体" w:cs="宋体"/>
          <w:color w:val="auto"/>
          <w:szCs w:val="21"/>
          <w:highlight w:val="none"/>
        </w:rPr>
        <w:t>有冲突的，应以最新的相关规定</w:t>
      </w:r>
      <w:r>
        <w:rPr>
          <w:rFonts w:hint="eastAsia" w:ascii="宋体" w:hAnsi="宋体" w:eastAsia="宋体" w:cs="宋体"/>
          <w:color w:val="auto"/>
          <w:szCs w:val="21"/>
          <w:highlight w:val="none"/>
          <w:lang w:eastAsia="zh-CN"/>
        </w:rPr>
        <w:t>标准</w:t>
      </w:r>
      <w:r>
        <w:rPr>
          <w:rFonts w:hint="eastAsia" w:ascii="宋体" w:hAnsi="宋体" w:eastAsia="宋体" w:cs="宋体"/>
          <w:color w:val="auto"/>
          <w:szCs w:val="21"/>
          <w:highlight w:val="none"/>
        </w:rPr>
        <w:t>为准</w:t>
      </w:r>
      <w:r>
        <w:rPr>
          <w:rFonts w:hint="eastAsia" w:ascii="宋体" w:hAnsi="宋体" w:eastAsia="宋体" w:cs="宋体"/>
          <w:color w:val="auto"/>
          <w:szCs w:val="21"/>
          <w:highlight w:val="none"/>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现更正为：</w:t>
      </w:r>
    </w:p>
    <w:tbl>
      <w:tblPr>
        <w:tblStyle w:val="8"/>
        <w:tblW w:w="10057" w:type="dxa"/>
        <w:tblInd w:w="93" w:type="dxa"/>
        <w:shd w:val="clear" w:color="auto" w:fill="FFFFFF"/>
        <w:tblLayout w:type="fixed"/>
        <w:tblCellMar>
          <w:top w:w="0" w:type="dxa"/>
          <w:left w:w="108" w:type="dxa"/>
          <w:bottom w:w="0" w:type="dxa"/>
          <w:right w:w="108" w:type="dxa"/>
        </w:tblCellMar>
      </w:tblPr>
      <w:tblGrid>
        <w:gridCol w:w="612"/>
        <w:gridCol w:w="1187"/>
        <w:gridCol w:w="1196"/>
        <w:gridCol w:w="767"/>
        <w:gridCol w:w="623"/>
        <w:gridCol w:w="3723"/>
        <w:gridCol w:w="1949"/>
      </w:tblGrid>
      <w:tr>
        <w:tblPrEx>
          <w:tblCellMar>
            <w:top w:w="0" w:type="dxa"/>
            <w:left w:w="108" w:type="dxa"/>
            <w:bottom w:w="0" w:type="dxa"/>
            <w:right w:w="108" w:type="dxa"/>
          </w:tblCellMar>
        </w:tblPrEx>
        <w:trPr>
          <w:trHeight w:val="741" w:hRule="atLeast"/>
        </w:trPr>
        <w:tc>
          <w:tcPr>
            <w:tcW w:w="61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19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图片</w:t>
            </w:r>
          </w:p>
        </w:tc>
      </w:tr>
      <w:tr>
        <w:tblPrEx>
          <w:shd w:val="clear" w:color="auto" w:fill="FFFFFF"/>
          <w:tblCellMar>
            <w:top w:w="0" w:type="dxa"/>
            <w:left w:w="108" w:type="dxa"/>
            <w:bottom w:w="0" w:type="dxa"/>
            <w:right w:w="108" w:type="dxa"/>
          </w:tblCellMar>
        </w:tblPrEx>
        <w:trPr>
          <w:trHeight w:val="8674" w:hRule="atLeast"/>
        </w:trPr>
        <w:tc>
          <w:tcPr>
            <w:tcW w:w="61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电磁单头矮汤炉</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650*730（500+600）</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1"/>
                <w:numId w:val="0"/>
              </w:numPr>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1、炉面板采用SUS304不锈钢板制作，面板≥1.5mm,采用一体成型面板防水设计。焊接拉力高达70.00kN以上，坚固耐用，清洁方便；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2、侧板、前板及后背板采用SUS304不锈钢制作，板材厚度≥1.0mm(实际厚度≥0.88mm)；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3、机芯采用全铜搭桥设计，多重安全保护设置，故障自动修复功能；磁电引擎，数字驱动，控制性能稳定有效延长使用寿命；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4、开关采用锌合金枪黑电镀，外观为不规则Z字型手柄开关，手柄呈平行四边形状；金属手感，支持≤310度17档光电磁控板灵敏度高、档位清晰手感好，火力细分加热，使火力更加热均匀，能够达到仿真火状态。</w:t>
            </w:r>
          </w:p>
          <w:p>
            <w:pPr>
              <w:keepNext w:val="0"/>
              <w:keepLines w:val="0"/>
              <w:widowControl/>
              <w:numPr>
                <w:ilvl w:val="-1"/>
                <w:numId w:val="0"/>
              </w:numPr>
              <w:suppressLineNumbers w:val="0"/>
              <w:jc w:val="left"/>
              <w:textAlignment w:val="auto"/>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PPS齿形线盘组件，磁强分布均匀不偏火；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6、超宽工作电压设计，运行更加稳定；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7、供应商须在响应文件中提供有检验检测资质的机构出具的具有依据SB/T 10548-2009热效率《商用电磁灶》，能效等级1级的检验报告复印件。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8、供应商须在响应文件中提供有检验检测资质的机构出具的具有依据SB/T 10548-2009 性能要求电磁灶锅具的偏置不影响其性能的检验报告复印件。</w:t>
            </w:r>
          </w:p>
        </w:tc>
        <w:tc>
          <w:tcPr>
            <w:tcW w:w="19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drawing>
                <wp:inline distT="0" distB="0" distL="114300" distR="114300">
                  <wp:extent cx="1066800" cy="1552575"/>
                  <wp:effectExtent l="0" t="0" r="0" b="9525"/>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pic:cNvPicPr>
                        </pic:nvPicPr>
                        <pic:blipFill>
                          <a:blip r:embed="rId4"/>
                          <a:stretch>
                            <a:fillRect/>
                          </a:stretch>
                        </pic:blipFill>
                        <pic:spPr>
                          <a:xfrm>
                            <a:off x="0" y="0"/>
                            <a:ext cx="1066800" cy="1552575"/>
                          </a:xfrm>
                          <a:prstGeom prst="rect">
                            <a:avLst/>
                          </a:prstGeom>
                        </pic:spPr>
                      </pic:pic>
                    </a:graphicData>
                  </a:graphic>
                </wp:inline>
              </w:drawing>
            </w:r>
          </w:p>
        </w:tc>
      </w:tr>
      <w:tr>
        <w:tblPrEx>
          <w:shd w:val="clear" w:color="auto" w:fill="FFFFFF"/>
          <w:tblCellMar>
            <w:top w:w="0" w:type="dxa"/>
            <w:left w:w="108" w:type="dxa"/>
            <w:bottom w:w="0" w:type="dxa"/>
            <w:right w:w="108" w:type="dxa"/>
          </w:tblCellMar>
        </w:tblPrEx>
        <w:trPr>
          <w:trHeight w:val="2795" w:hRule="atLeast"/>
        </w:trPr>
        <w:tc>
          <w:tcPr>
            <w:tcW w:w="61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A4</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电磁单大锅电磁炉</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1000*1100*（800+300）</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1、整机采用 SUS304 外壳采用不锈钢板材≥1.5mm制作，台面一体成型防水设计，四面可直接喷淋。焊接拉力高达70.00kN以上，坚固耐用，清洁方便。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2、数字集成机芯、采用 ARM 内核的 32 位数字处理器作控制核心芯片、双磁电引擎，数字驱动、电路板采用全贴片工艺自动化生产、多级防护三重立体防辐射外壳屏蔽。同时还具有至少18重安全保护设置，具有至少28项故障自动修复功能。热风对流风道设计，散热快、超静音风机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3、开关采用锌合金枪黑电镀，外观为不规则Z字型手柄开关，手柄呈平行四边形状；金属手感，支持≤310度17档光电磁控板灵敏度高、档位清晰手感好，火力细分加热，使火力更加热均匀，能够达到仿真火状态。                                                                  </w:t>
            </w:r>
            <w:r>
              <w:rPr>
                <w:rFonts w:hint="eastAsia" w:ascii="宋体" w:hAnsi="宋体" w:eastAsia="宋体" w:cs="宋体"/>
                <w:b/>
                <w:bCs/>
                <w:i w:val="0"/>
                <w:iCs w:val="0"/>
                <w:color w:val="auto"/>
                <w:kern w:val="0"/>
                <w:sz w:val="21"/>
                <w:szCs w:val="21"/>
                <w:highlight w:val="none"/>
                <w:u w:val="none"/>
                <w:lang w:val="en-US" w:eastAsia="zh-CN" w:bidi="ar"/>
              </w:rPr>
              <w:t>尺寸（mm）（正负不超过2mm）</w:t>
            </w:r>
            <w:r>
              <w:rPr>
                <w:rFonts w:hint="eastAsia" w:ascii="宋体" w:hAnsi="宋体" w:eastAsia="宋体" w:cs="宋体"/>
                <w:i w:val="0"/>
                <w:iCs w:val="0"/>
                <w:color w:val="auto"/>
                <w:kern w:val="0"/>
                <w:sz w:val="21"/>
                <w:szCs w:val="21"/>
                <w:highlight w:val="none"/>
                <w:u w:val="none"/>
                <w:lang w:val="en-US" w:eastAsia="zh-CN" w:bidi="ar"/>
              </w:rPr>
              <w:t>：160*95（垫片直径）*50 ；手柄宽：24mm；光电磁控板白盒：83*70*75mm。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PPS齿形线盘组件，磁强分布均匀不偏火。</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、＃443铁素体不锈钢，需模具压制圆锅形状，Cr≥21%含量。                                        </w:t>
            </w:r>
          </w:p>
        </w:tc>
        <w:tc>
          <w:tcPr>
            <w:tcW w:w="19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drawing>
                <wp:inline distT="0" distB="0" distL="114300" distR="114300">
                  <wp:extent cx="1190625" cy="1314450"/>
                  <wp:effectExtent l="0" t="0" r="9525" b="0"/>
                  <wp:docPr id="15" name="图片 15" descr="QQ图片202205121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QQ图片20220512191552"/>
                          <pic:cNvPicPr>
                            <a:picLocks noChangeAspect="1"/>
                          </pic:cNvPicPr>
                        </pic:nvPicPr>
                        <pic:blipFill>
                          <a:blip r:embed="rId5"/>
                          <a:stretch>
                            <a:fillRect/>
                          </a:stretch>
                        </pic:blipFill>
                        <pic:spPr>
                          <a:xfrm>
                            <a:off x="0" y="0"/>
                            <a:ext cx="1190625" cy="1314450"/>
                          </a:xfrm>
                          <a:prstGeom prst="rect">
                            <a:avLst/>
                          </a:prstGeom>
                        </pic:spPr>
                      </pic:pic>
                    </a:graphicData>
                  </a:graphic>
                </wp:inline>
              </w:drawing>
            </w:r>
          </w:p>
        </w:tc>
      </w:tr>
      <w:tr>
        <w:tblPrEx>
          <w:shd w:val="clear" w:color="auto" w:fill="FFFFFF"/>
          <w:tblCellMar>
            <w:top w:w="0" w:type="dxa"/>
            <w:left w:w="108" w:type="dxa"/>
            <w:bottom w:w="0" w:type="dxa"/>
            <w:right w:w="108" w:type="dxa"/>
          </w:tblCellMar>
        </w:tblPrEx>
        <w:trPr>
          <w:trHeight w:val="3791" w:hRule="atLeast"/>
        </w:trPr>
        <w:tc>
          <w:tcPr>
            <w:tcW w:w="61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E08</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低空排放净化器</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6000风量</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3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 1、供应商提供的油烟净化器智能数字高频高压电源应依据</w:t>
            </w:r>
            <w:r>
              <w:rPr>
                <w:rFonts w:hint="eastAsia" w:ascii="宋体" w:hAnsi="宋体" w:eastAsia="宋体" w:cs="宋体"/>
                <w:b/>
                <w:bCs/>
                <w:i w:val="0"/>
                <w:iCs w:val="0"/>
                <w:color w:val="auto"/>
                <w:kern w:val="0"/>
                <w:sz w:val="21"/>
                <w:szCs w:val="21"/>
                <w:highlight w:val="none"/>
                <w:u w:val="none"/>
                <w:lang w:val="en-US" w:eastAsia="zh-CN" w:bidi="ar"/>
              </w:rPr>
              <w:t>GB/T2423.10-2019</w:t>
            </w:r>
            <w:r>
              <w:rPr>
                <w:rFonts w:hint="eastAsia" w:ascii="宋体" w:hAnsi="宋体" w:eastAsia="宋体" w:cs="宋体"/>
                <w:b w:val="0"/>
                <w:bCs w:val="0"/>
                <w:i w:val="0"/>
                <w:iCs w:val="0"/>
                <w:color w:val="auto"/>
                <w:kern w:val="0"/>
                <w:sz w:val="21"/>
                <w:szCs w:val="21"/>
                <w:highlight w:val="none"/>
                <w:u w:val="none"/>
                <w:lang w:val="en-US" w:eastAsia="zh-CN" w:bidi="ar"/>
              </w:rPr>
              <w:t>测试标准，对振动试验测试合格，供应商须在响应文件中提供有检验检测资质的机构出具的检测报告复印件佐证，未提供或提供不齐全的响应无效；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所投静电式餐饮油烟净化设备满足：（1）高压开路保护，当高压电源的输出与过滤组件的电极持续开路超过3S时，高压电源应能自动停止高压输出；（2）短路保护，当过滤组件的电极持续短路超过3S时，高压电源应能自动停止高压输出。供应商须在响应文件中提供有检验检测资质的机构出具的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供应商提供的油烟净化器智能数字高频高压电源应依据GB/T2423.22-2012测试标准，对“温度变化试验”在测试温度为-40℃~100℃；温度速率为10℃/min；驻留时间为30分钟；测试结果合格，需提有检验检测资质的机构出具的供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4.供应商提供的静电式餐饮油烟净化设备产品应依据GB/T 14295-2019标准，产品检验结果须通过计数效率(0.3-1.0)µm≥93%、(1.0-3.0)µm≥96%、(3.0-10.0)µm≥98%，检验结果均符合，供应商须在响应文件中提供带CMA和CNAS标识的检测报告复印件佐证，未提供或提供不齐全的响应无效；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5.供应商提供的静电式餐饮油烟净化设备（电场）盐雾测试依据GB/T 2423.17-2008测试标准，在溶液浓度50g±5g/L,溶液PH值6.5～7.2测试条件下连续喷雾96小时，清洗后放置1小时以上，电场材质防护等级（GB/T 6461-2002或ISO 10289:1999标准）为9级。供应商须在响应文件中提供带 CMA和CNAS 标识的检测报告复印件佐证，未提供或提供不齐全的响应无效。</w:t>
            </w:r>
          </w:p>
        </w:tc>
        <w:tc>
          <w:tcPr>
            <w:tcW w:w="19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w:t>
            </w:r>
          </w:p>
        </w:tc>
      </w:tr>
    </w:tbl>
    <w:p>
      <w:pPr>
        <w:rPr>
          <w:rStyle w:val="10"/>
          <w:rFonts w:hint="eastAsia" w:ascii="宋体" w:hAnsi="宋体" w:eastAsia="宋体" w:cs="宋体"/>
          <w:color w:val="auto"/>
          <w:highlight w:val="none"/>
        </w:rPr>
      </w:pPr>
    </w:p>
    <w:p>
      <w:pPr>
        <w:rPr>
          <w:rFonts w:hint="eastAsia" w:ascii="宋体" w:hAnsi="宋体" w:eastAsia="宋体" w:cs="宋体"/>
          <w:b/>
          <w:bCs/>
          <w:color w:val="auto"/>
          <w:sz w:val="21"/>
          <w:szCs w:val="21"/>
          <w:highlight w:val="none"/>
          <w:lang w:val="en-US" w:eastAsia="zh-CN"/>
        </w:rPr>
      </w:pPr>
      <w:r>
        <w:rPr>
          <w:rStyle w:val="10"/>
          <w:rFonts w:hint="eastAsia" w:ascii="宋体" w:hAnsi="宋体" w:eastAsia="宋体" w:cs="宋体"/>
          <w:color w:val="auto"/>
          <w:highlight w:val="none"/>
        </w:rPr>
        <w:t>★</w:t>
      </w:r>
      <w:r>
        <w:rPr>
          <w:rFonts w:hint="eastAsia" w:ascii="宋体" w:hAnsi="宋体" w:eastAsia="宋体" w:cs="宋体"/>
          <w:b/>
          <w:bCs/>
          <w:color w:val="auto"/>
          <w:sz w:val="21"/>
          <w:szCs w:val="21"/>
          <w:highlight w:val="none"/>
          <w:lang w:val="en-US" w:eastAsia="zh-CN"/>
        </w:rPr>
        <w:t>合同包1、合同包2特别提示</w:t>
      </w:r>
    </w:p>
    <w:p>
      <w:pPr>
        <w:rPr>
          <w:rFonts w:hint="eastAsia"/>
          <w:lang w:val="en-US" w:eastAsia="zh-CN"/>
        </w:rPr>
      </w:pPr>
    </w:p>
    <w:p>
      <w:pPr>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rPr>
        <w:t>除技术参数中另行要求的情况外，上述所有的规格、尺寸允许的误差范围为±</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p>
    <w:p>
      <w:pPr>
        <w:numPr>
          <w:ilvl w:val="0"/>
          <w:numId w:val="0"/>
        </w:numPr>
        <w:spacing w:line="50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（2）供应商的响应报价包含本次项目安装施工过程中实际所需全部辅材及安装服务费用。</w:t>
      </w:r>
    </w:p>
    <w:p>
      <w:pPr>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（3）上述货物图片和</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eastAsia="zh-CN"/>
        </w:rPr>
        <w:t>中具体</w:t>
      </w:r>
      <w:r>
        <w:rPr>
          <w:rFonts w:hint="eastAsia" w:ascii="宋体" w:hAnsi="宋体" w:eastAsia="宋体" w:cs="宋体"/>
          <w:b w:val="0"/>
          <w:bCs w:val="0"/>
          <w:color w:val="auto"/>
          <w:sz w:val="21"/>
          <w:szCs w:val="21"/>
          <w:highlight w:val="none"/>
        </w:rPr>
        <w:t>规格、尺寸</w:t>
      </w:r>
      <w:r>
        <w:rPr>
          <w:rFonts w:hint="eastAsia" w:ascii="宋体" w:hAnsi="宋体" w:eastAsia="宋体" w:cs="宋体"/>
          <w:b w:val="0"/>
          <w:bCs w:val="0"/>
          <w:color w:val="auto"/>
          <w:sz w:val="21"/>
          <w:szCs w:val="21"/>
          <w:highlight w:val="none"/>
          <w:lang w:eastAsia="zh-CN"/>
        </w:rPr>
        <w:t>描述有冲突的，以</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eastAsia="zh-CN"/>
        </w:rPr>
        <w:t>中具体</w:t>
      </w:r>
      <w:r>
        <w:rPr>
          <w:rFonts w:hint="eastAsia" w:ascii="宋体" w:hAnsi="宋体" w:eastAsia="宋体" w:cs="宋体"/>
          <w:b w:val="0"/>
          <w:bCs w:val="0"/>
          <w:color w:val="auto"/>
          <w:sz w:val="21"/>
          <w:szCs w:val="21"/>
          <w:highlight w:val="none"/>
        </w:rPr>
        <w:t>规格、尺寸</w:t>
      </w:r>
      <w:r>
        <w:rPr>
          <w:rFonts w:hint="eastAsia" w:ascii="宋体" w:hAnsi="宋体" w:eastAsia="宋体" w:cs="宋体"/>
          <w:b w:val="0"/>
          <w:bCs w:val="0"/>
          <w:color w:val="auto"/>
          <w:sz w:val="21"/>
          <w:szCs w:val="21"/>
          <w:highlight w:val="none"/>
          <w:lang w:eastAsia="zh-CN"/>
        </w:rPr>
        <w:t>描述为准。</w:t>
      </w:r>
    </w:p>
    <w:p>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上述提及的标准</w:t>
      </w:r>
      <w:r>
        <w:rPr>
          <w:rFonts w:hint="eastAsia" w:ascii="宋体" w:hAnsi="宋体" w:eastAsia="宋体" w:cs="宋体"/>
          <w:color w:val="auto"/>
          <w:szCs w:val="21"/>
          <w:highlight w:val="none"/>
        </w:rPr>
        <w:t>，若存在已被依法替换、废止等情况或与最新更新的</w:t>
      </w:r>
      <w:r>
        <w:rPr>
          <w:rFonts w:hint="eastAsia" w:ascii="宋体" w:hAnsi="宋体" w:eastAsia="宋体" w:cs="宋体"/>
          <w:color w:val="auto"/>
          <w:szCs w:val="21"/>
          <w:highlight w:val="none"/>
          <w:lang w:eastAsia="zh-CN"/>
        </w:rPr>
        <w:t>权威</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、标准</w:t>
      </w:r>
      <w:r>
        <w:rPr>
          <w:rFonts w:hint="eastAsia" w:ascii="宋体" w:hAnsi="宋体" w:eastAsia="宋体" w:cs="宋体"/>
          <w:color w:val="auto"/>
          <w:szCs w:val="21"/>
          <w:highlight w:val="none"/>
        </w:rPr>
        <w:t>有冲突的，应以最新的相关规定</w:t>
      </w:r>
      <w:r>
        <w:rPr>
          <w:rFonts w:hint="eastAsia" w:ascii="宋体" w:hAnsi="宋体" w:eastAsia="宋体" w:cs="宋体"/>
          <w:color w:val="auto"/>
          <w:szCs w:val="21"/>
          <w:highlight w:val="none"/>
          <w:lang w:eastAsia="zh-CN"/>
        </w:rPr>
        <w:t>标准</w:t>
      </w:r>
      <w:r>
        <w:rPr>
          <w:rFonts w:hint="eastAsia" w:ascii="宋体" w:hAnsi="宋体" w:eastAsia="宋体" w:cs="宋体"/>
          <w:color w:val="auto"/>
          <w:szCs w:val="21"/>
          <w:highlight w:val="none"/>
        </w:rPr>
        <w:t>为准</w:t>
      </w:r>
      <w:r>
        <w:rPr>
          <w:rFonts w:hint="eastAsia" w:ascii="宋体" w:hAnsi="宋体" w:eastAsia="宋体" w:cs="宋体"/>
          <w:color w:val="auto"/>
          <w:szCs w:val="21"/>
          <w:highlight w:val="none"/>
          <w:lang w:eastAsia="zh-CN"/>
        </w:rPr>
        <w:t>。</w:t>
      </w:r>
    </w:p>
    <w:p>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（二）合同包二</w:t>
      </w:r>
      <w:r>
        <w:rPr>
          <w:rFonts w:hint="eastAsia" w:ascii="宋体" w:hAnsi="宋体" w:eastAsia="宋体" w:cs="宋体"/>
          <w:color w:val="auto"/>
          <w:sz w:val="21"/>
          <w:szCs w:val="21"/>
        </w:rPr>
        <w:t>更正（补充）后获取</w:t>
      </w:r>
      <w:r>
        <w:rPr>
          <w:rFonts w:hint="eastAsia" w:ascii="宋体" w:hAnsi="宋体" w:cs="宋体"/>
          <w:color w:val="auto"/>
          <w:sz w:val="21"/>
          <w:szCs w:val="21"/>
          <w:lang w:val="en-US" w:eastAsia="zh-CN"/>
        </w:rPr>
        <w:t>询价通知书</w:t>
      </w:r>
      <w:r>
        <w:rPr>
          <w:rFonts w:hint="eastAsia" w:ascii="宋体" w:hAnsi="宋体" w:eastAsia="宋体" w:cs="宋体"/>
          <w:color w:val="auto"/>
          <w:sz w:val="21"/>
          <w:szCs w:val="21"/>
        </w:rPr>
        <w:t>时间：延长至202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17</w:t>
      </w:r>
      <w:r>
        <w:rPr>
          <w:rFonts w:hint="eastAsia" w:ascii="宋体" w:hAnsi="宋体" w:eastAsia="宋体" w:cs="宋体"/>
          <w:color w:val="auto"/>
          <w:sz w:val="21"/>
          <w:szCs w:val="21"/>
        </w:rPr>
        <w:t>日，每天上午8:30至12:00，下午1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0至17:30。（北京时间，法定节假日除外）</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（三）</w:t>
      </w:r>
      <w:r>
        <w:rPr>
          <w:rFonts w:hint="eastAsia" w:ascii="宋体" w:hAnsi="宋体" w:cs="宋体"/>
          <w:color w:val="auto"/>
          <w:sz w:val="21"/>
          <w:szCs w:val="21"/>
          <w:lang w:val="en-US" w:eastAsia="zh-CN"/>
        </w:rPr>
        <w:t>合同包二</w:t>
      </w:r>
      <w:r>
        <w:rPr>
          <w:rFonts w:hint="eastAsia" w:ascii="宋体" w:hAnsi="宋体" w:eastAsia="宋体" w:cs="宋体"/>
          <w:color w:val="auto"/>
          <w:sz w:val="21"/>
          <w:szCs w:val="21"/>
        </w:rPr>
        <w:t>更正（补充）后提交</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文件截止时间：202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日 </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点</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分（北京时间）。</w:t>
      </w:r>
      <w:r>
        <w:rPr>
          <w:rFonts w:hint="eastAsia" w:ascii="宋体" w:hAnsi="宋体" w:eastAsia="宋体" w:cs="宋体"/>
          <w:color w:val="auto"/>
          <w:sz w:val="21"/>
          <w:szCs w:val="21"/>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本更正公告为</w:t>
      </w:r>
      <w:r>
        <w:rPr>
          <w:rFonts w:hint="eastAsia" w:ascii="宋体" w:hAnsi="宋体" w:cs="宋体"/>
          <w:color w:val="auto"/>
          <w:sz w:val="21"/>
          <w:szCs w:val="21"/>
          <w:lang w:val="en-US" w:eastAsia="zh-CN"/>
        </w:rPr>
        <w:t>询价通知书</w:t>
      </w:r>
      <w:r>
        <w:rPr>
          <w:rFonts w:hint="eastAsia" w:ascii="宋体" w:hAnsi="宋体" w:eastAsia="宋体" w:cs="宋体"/>
          <w:color w:val="auto"/>
          <w:sz w:val="21"/>
          <w:szCs w:val="21"/>
        </w:rPr>
        <w:t>的组成部分，对各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均具有约束力。其他事项均按</w:t>
      </w:r>
      <w:r>
        <w:rPr>
          <w:rFonts w:hint="eastAsia" w:ascii="宋体" w:hAnsi="宋体" w:cs="宋体"/>
          <w:color w:val="auto"/>
          <w:sz w:val="21"/>
          <w:szCs w:val="21"/>
          <w:lang w:val="en-US" w:eastAsia="zh-CN"/>
        </w:rPr>
        <w:t>询价通知书</w:t>
      </w:r>
      <w:r>
        <w:rPr>
          <w:rFonts w:hint="eastAsia" w:ascii="宋体" w:hAnsi="宋体" w:eastAsia="宋体" w:cs="宋体"/>
          <w:color w:val="auto"/>
          <w:sz w:val="21"/>
          <w:szCs w:val="21"/>
        </w:rPr>
        <w:t xml:space="preserve">规定执行。其余不变，特此通知！ </w:t>
      </w:r>
      <w:r>
        <w:rPr>
          <w:rFonts w:hint="eastAsia" w:ascii="宋体" w:hAnsi="宋体" w:cs="宋体"/>
          <w:color w:val="auto"/>
          <w:sz w:val="21"/>
          <w:szCs w:val="21"/>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rPr>
      </w:pPr>
      <w:r>
        <w:rPr>
          <w:rStyle w:val="10"/>
          <w:rFonts w:hint="eastAsia" w:ascii="宋体" w:hAnsi="宋体" w:eastAsia="宋体" w:cs="宋体"/>
          <w:color w:val="auto"/>
          <w:sz w:val="21"/>
          <w:szCs w:val="21"/>
        </w:rPr>
        <w:t>三、凡对本次公告内容提出询问，请按以下方式联系。</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采购人：</w:t>
      </w:r>
      <w:r>
        <w:rPr>
          <w:rFonts w:hint="eastAsia" w:ascii="宋体" w:hAnsi="宋体" w:eastAsia="宋体" w:cs="宋体"/>
          <w:color w:val="auto"/>
          <w:sz w:val="21"/>
          <w:szCs w:val="21"/>
          <w:lang w:eastAsia="zh-CN"/>
        </w:rPr>
        <w:t>宁德市三都澳新区开发建设有限公司</w:t>
      </w:r>
      <w:r>
        <w:rPr>
          <w:rFonts w:hint="eastAsia" w:ascii="宋体" w:hAnsi="宋体" w:eastAsia="宋体" w:cs="宋体"/>
          <w:color w:val="auto"/>
          <w:sz w:val="21"/>
          <w:szCs w:val="21"/>
        </w:rPr>
        <w:t xml:space="preserve"> </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地址： </w:t>
      </w:r>
      <w:r>
        <w:rPr>
          <w:rFonts w:hint="eastAsia" w:ascii="宋体" w:hAnsi="宋体" w:eastAsia="宋体" w:cs="宋体"/>
          <w:color w:val="auto"/>
          <w:sz w:val="21"/>
          <w:szCs w:val="21"/>
          <w:lang w:eastAsia="zh-CN"/>
        </w:rPr>
        <w:t>福建省</w:t>
      </w:r>
      <w:r>
        <w:rPr>
          <w:rFonts w:hint="eastAsia" w:ascii="宋体" w:hAnsi="宋体" w:eastAsia="宋体" w:cs="宋体"/>
          <w:color w:val="auto"/>
          <w:sz w:val="21"/>
          <w:szCs w:val="21"/>
        </w:rPr>
        <w:t>宁德市东侨区南湖滨路1号景观综合楼2楼</w:t>
      </w:r>
      <w:r>
        <w:rPr>
          <w:rFonts w:hint="eastAsia" w:ascii="宋体" w:hAnsi="宋体" w:eastAsia="宋体" w:cs="宋体"/>
          <w:color w:val="auto"/>
          <w:sz w:val="21"/>
          <w:szCs w:val="21"/>
          <w:lang w:eastAsia="zh-CN"/>
        </w:rPr>
        <w:t>三都澳新区公司办公室</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潘先生</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lang w:val="en-US" w:eastAsia="zh-CN"/>
        </w:rPr>
        <w:t>0593-2023120</w:t>
      </w:r>
      <w:r>
        <w:rPr>
          <w:rFonts w:hint="eastAsia" w:ascii="宋体" w:hAnsi="宋体" w:eastAsia="宋体" w:cs="宋体"/>
          <w:color w:val="auto"/>
          <w:sz w:val="21"/>
          <w:szCs w:val="21"/>
        </w:rPr>
        <w:t xml:space="preserve">  </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代理机构：宁德市有信产权交易服务有限公司 </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福建省</w:t>
      </w:r>
      <w:r>
        <w:rPr>
          <w:rFonts w:hint="eastAsia" w:ascii="宋体" w:hAnsi="宋体" w:eastAsia="宋体" w:cs="宋体"/>
          <w:color w:val="auto"/>
          <w:sz w:val="21"/>
          <w:szCs w:val="21"/>
        </w:rPr>
        <w:t>宁德市东侨</w:t>
      </w:r>
      <w:r>
        <w:rPr>
          <w:rFonts w:hint="eastAsia" w:ascii="宋体" w:hAnsi="宋体" w:eastAsia="宋体" w:cs="宋体"/>
          <w:color w:val="auto"/>
          <w:sz w:val="21"/>
          <w:szCs w:val="21"/>
          <w:lang w:eastAsia="zh-CN"/>
        </w:rPr>
        <w:t>经济技术开发区闽东东路</w:t>
      </w:r>
      <w:r>
        <w:rPr>
          <w:rFonts w:hint="eastAsia" w:ascii="宋体" w:hAnsi="宋体" w:eastAsia="宋体" w:cs="宋体"/>
          <w:color w:val="auto"/>
          <w:sz w:val="21"/>
          <w:szCs w:val="21"/>
          <w:lang w:val="en-US" w:eastAsia="zh-CN"/>
        </w:rPr>
        <w:t>15号金禾商务中心12楼有信业务室</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彭女士</w:t>
      </w:r>
    </w:p>
    <w:p>
      <w:pPr>
        <w:pStyle w:val="7"/>
        <w:keepNext w:val="0"/>
        <w:keepLines w:val="0"/>
        <w:pageBreakBefore w:val="0"/>
        <w:widowControl/>
        <w:suppressLineNumbers w:val="0"/>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联系方法：0593-2292676 </w:t>
      </w:r>
    </w:p>
    <w:p>
      <w:pPr>
        <w:pStyle w:val="6"/>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kern w:val="0"/>
          <w:sz w:val="21"/>
          <w:szCs w:val="21"/>
          <w:highlight w:val="none"/>
          <w:shd w:val="clear" w:color="auto" w:fill="auto"/>
        </w:rPr>
      </w:pP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sz w:val="21"/>
          <w:szCs w:val="21"/>
        </w:rPr>
      </w:pPr>
    </w:p>
    <w:p>
      <w:pPr>
        <w:pStyle w:val="7"/>
        <w:keepNext w:val="0"/>
        <w:keepLines w:val="0"/>
        <w:pageBreakBefore w:val="0"/>
        <w:widowControl/>
        <w:suppressLineNumbers w:val="0"/>
        <w:kinsoku/>
        <w:wordWrap/>
        <w:overflowPunct/>
        <w:topLinePunct w:val="0"/>
        <w:autoSpaceDE/>
        <w:autoSpaceDN/>
        <w:bidi w:val="0"/>
        <w:adjustRightInd/>
        <w:spacing w:line="312" w:lineRule="auto"/>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宁德市有信产权交易服务有限公司</w:t>
      </w:r>
    </w:p>
    <w:p>
      <w:pPr>
        <w:keepNext w:val="0"/>
        <w:keepLines w:val="0"/>
        <w:pageBreakBefore w:val="0"/>
        <w:kinsoku/>
        <w:wordWrap/>
        <w:overflowPunct/>
        <w:topLinePunct w:val="0"/>
        <w:autoSpaceDE/>
        <w:autoSpaceDN/>
        <w:bidi w:val="0"/>
        <w:adjustRightInd/>
        <w:spacing w:line="312"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日</w:t>
      </w:r>
    </w:p>
    <w:p/>
    <w:sectPr>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经典中圆繁">
    <w:altName w:val="宋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C641C"/>
    <w:multiLevelType w:val="singleLevel"/>
    <w:tmpl w:val="95BC641C"/>
    <w:lvl w:ilvl="0" w:tentative="0">
      <w:start w:val="1"/>
      <w:numFmt w:val="decimal"/>
      <w:suff w:val="nothing"/>
      <w:lvlText w:val="%1、"/>
      <w:lvlJc w:val="left"/>
    </w:lvl>
  </w:abstractNum>
  <w:abstractNum w:abstractNumId="1">
    <w:nsid w:val="154A23EE"/>
    <w:multiLevelType w:val="singleLevel"/>
    <w:tmpl w:val="154A23EE"/>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OTk5ZWZlYjQ4MWNlNTFhZDg2MDAyNzNkZGIwZDIifQ=="/>
  </w:docVars>
  <w:rsids>
    <w:rsidRoot w:val="00000000"/>
    <w:rsid w:val="00700991"/>
    <w:rsid w:val="096C4FF9"/>
    <w:rsid w:val="10EF53FC"/>
    <w:rsid w:val="11DF0C3D"/>
    <w:rsid w:val="130F73D7"/>
    <w:rsid w:val="18640AB1"/>
    <w:rsid w:val="1C096423"/>
    <w:rsid w:val="1FCA3FEC"/>
    <w:rsid w:val="286416EE"/>
    <w:rsid w:val="320562AA"/>
    <w:rsid w:val="372D097B"/>
    <w:rsid w:val="3A7E72BE"/>
    <w:rsid w:val="3BCF7684"/>
    <w:rsid w:val="51BE32E3"/>
    <w:rsid w:val="59584CC9"/>
    <w:rsid w:val="59B2057C"/>
    <w:rsid w:val="5A080C44"/>
    <w:rsid w:val="633A7598"/>
    <w:rsid w:val="67714D14"/>
    <w:rsid w:val="6A2C22EC"/>
    <w:rsid w:val="743E749F"/>
    <w:rsid w:val="781B2CE0"/>
    <w:rsid w:val="7B8C6CE4"/>
    <w:rsid w:val="7F0C5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firstLine="420" w:firstLineChars="200"/>
    </w:pPr>
    <w:rPr>
      <w:rFonts w:ascii="宋体" w:hAnsi="宋体"/>
      <w:szCs w:val="28"/>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5">
    <w:name w:val="Body Text 3"/>
    <w:basedOn w:val="1"/>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6">
    <w:name w:val="Body Text"/>
    <w:basedOn w:val="1"/>
    <w:next w:val="1"/>
    <w:qFormat/>
    <w:uiPriority w:val="0"/>
    <w:rPr>
      <w:rFonts w:ascii="Times New Roman" w:hAnsi="Times New Roman" w:eastAsia="经典中圆繁" w:cs="Times New Roman"/>
      <w:sz w:val="28"/>
      <w:szCs w:val="24"/>
    </w:rPr>
  </w:style>
  <w:style w:type="paragraph" w:styleId="7">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4040</Words>
  <Characters>4761</Characters>
  <Lines>0</Lines>
  <Paragraphs>0</Paragraphs>
  <TotalTime>11</TotalTime>
  <ScaleCrop>false</ScaleCrop>
  <LinksUpToDate>false</LinksUpToDate>
  <CharactersWithSpaces>5092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2022-04-11T09:57:00Z</dcterms:created>
  <dc:creator>Administrator</dc:creator>
  <cp:lastModifiedBy>栗弋。</cp:lastModifiedBy>
  <dcterms:modified xsi:type="dcterms:W3CDTF">2022-05-12T13:31:38Z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F8CC0FE0F11D4E06BE9E0FEA4A7414A2</vt:lpwstr>
  </property>
</Properties>
</file>